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440001-2025-43546</w:t>
      </w:r>
    </w:p>
    <w:p>
      <w:pPr>
        <w:pStyle w:val="null3"/>
        <w:jc w:val="center"/>
        <w:outlineLvl w:val="3"/>
      </w:pPr>
      <w:r>
        <w:rPr>
          <w:sz w:val="24"/>
          <w:b/>
        </w:rPr>
        <w:t>采购项目编号：</w:t>
      </w:r>
      <w:r>
        <w:rPr>
          <w:sz w:val="24"/>
          <w:b/>
        </w:rPr>
        <w:t>DXZB-2025GPA0242</w:t>
      </w:r>
    </w:p>
    <w:p>
      <w:pPr>
        <w:pStyle w:val="null3"/>
        <w:jc w:val="center"/>
        <w:outlineLvl w:val="3"/>
      </w:pPr>
      <w:r>
        <w:rPr>
          <w:sz w:val="24"/>
          <w:b/>
        </w:rPr>
        <w:t>项目名称：</w:t>
      </w:r>
      <w:r>
        <w:rPr>
          <w:sz w:val="24"/>
          <w:b/>
        </w:rPr>
        <w:t>档案数字化加工服务第八期</w:t>
      </w:r>
    </w:p>
    <w:p>
      <w:pPr>
        <w:pStyle w:val="null3"/>
        <w:jc w:val="center"/>
        <w:outlineLvl w:val="3"/>
      </w:pPr>
      <w:r>
        <w:rPr>
          <w:sz w:val="24"/>
          <w:b/>
        </w:rPr>
        <w:t>采购人：</w:t>
      </w:r>
      <w:r>
        <w:rPr>
          <w:sz w:val="24"/>
          <w:b/>
        </w:rPr>
        <w:t>佛山市南海区人民法院</w:t>
      </w:r>
    </w:p>
    <w:p>
      <w:pPr>
        <w:pStyle w:val="null3"/>
        <w:jc w:val="center"/>
        <w:outlineLvl w:val="3"/>
      </w:pPr>
      <w:r>
        <w:rPr>
          <w:sz w:val="24"/>
          <w:b/>
        </w:rPr>
        <w:t>采购代理机构：</w:t>
      </w:r>
      <w:r>
        <w:rPr>
          <w:sz w:val="24"/>
          <w:b/>
        </w:rPr>
        <w:t>广东鼎信招标采购有限公司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广东鼎信招标采购有限公司</w:t>
      </w:r>
      <w:r>
        <w:rPr/>
        <w:t>受</w:t>
      </w:r>
      <w:r>
        <w:rPr/>
        <w:t>佛山市南海区人民法院</w:t>
      </w:r>
      <w:r>
        <w:rPr/>
        <w:t>的委托，采用</w:t>
      </w:r>
      <w:r>
        <w:rPr/>
        <w:t>公开招标</w:t>
      </w:r>
      <w:r>
        <w:rPr/>
        <w:t>方式组织采购</w:t>
      </w:r>
      <w:r>
        <w:rPr/>
        <w:t>档案数字化加工服务第八期</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档案数字化加工服务第八期</w:t>
      </w:r>
    </w:p>
    <w:p>
      <w:pPr>
        <w:pStyle w:val="null3"/>
        <w:ind w:firstLine="480"/>
      </w:pPr>
      <w:r>
        <w:rPr/>
        <w:t>采购计划编号：</w:t>
      </w:r>
      <w:r>
        <w:rPr/>
        <w:t>440001-2025-43546</w:t>
      </w:r>
    </w:p>
    <w:p>
      <w:pPr>
        <w:pStyle w:val="null3"/>
        <w:ind w:firstLine="480"/>
      </w:pPr>
      <w:r>
        <w:rPr/>
        <w:t>采购项目编号：</w:t>
      </w:r>
      <w:r>
        <w:rPr/>
        <w:t>DXZB-2025GPA0242</w:t>
      </w:r>
    </w:p>
    <w:p>
      <w:pPr>
        <w:pStyle w:val="null3"/>
        <w:ind w:firstLine="480"/>
      </w:pPr>
      <w:r>
        <w:rPr/>
        <w:t>采购方式：</w:t>
      </w:r>
      <w:r>
        <w:rPr/>
        <w:t>公开招标</w:t>
      </w:r>
    </w:p>
    <w:p>
      <w:pPr>
        <w:pStyle w:val="null3"/>
        <w:ind w:firstLine="480"/>
      </w:pPr>
      <w:r>
        <w:rPr/>
        <w:t>预算金额：</w:t>
      </w:r>
      <w:r>
        <w:rPr/>
        <w:t>2,000,000.00</w:t>
      </w:r>
      <w:r>
        <w:rPr/>
        <w:t>元</w:t>
      </w:r>
    </w:p>
    <w:p>
      <w:pPr>
        <w:pStyle w:val="null3"/>
        <w:outlineLvl w:val="3"/>
      </w:pPr>
      <w:r>
        <w:rPr>
          <w:sz w:val="24"/>
          <w:b/>
        </w:rPr>
        <w:t>2.项目内容及需求情况（采购项目技术规格、参数及要求）</w:t>
      </w:r>
    </w:p>
    <w:p>
      <w:pPr>
        <w:pStyle w:val="null3"/>
      </w:pPr>
      <w:r>
        <w:rPr/>
        <w:t>采购包1(档案数字化加工服务第八期):</w:t>
      </w:r>
    </w:p>
    <w:p>
      <w:pPr>
        <w:pStyle w:val="null3"/>
      </w:pPr>
      <w:r>
        <w:rPr/>
        <w:t>采购包预算金额：2,000,000.00元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其他服务</w:t>
            </w:r>
          </w:p>
        </w:tc>
        <w:tc>
          <w:tcPr>
            <w:tcW w:type="dxa" w:w="2052"/>
          </w:tcPr>
          <w:p>
            <w:pPr>
              <w:pStyle w:val="null3"/>
            </w:pPr>
            <w:r>
              <w:rPr/>
              <w:t>档案数字化加工服务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2,000,000.00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合同履行期限：合同签订之日起按中标单价累计结算服务费达到合同总价的95%或以上后合同可终止。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单位法人证书，或社会团体法人登记证书，或其他具有独立承担民事责任的能力的有效证照）扫描件，如投标人为自然人的需提供自然人身份证明扫描件。分支机构投标的，须提供总公司和分公司营业执照副本复印件，总公司出具给分支机构的授权书。</w:t>
      </w:r>
    </w:p>
    <w:p>
      <w:pPr>
        <w:pStyle w:val="null3"/>
      </w:pPr>
      <w:r>
        <w:rPr/>
        <w:t>2）有依法缴纳税收和社会保障资金的良好记录：提供以下两种证明材料之一即可： ①开标时间当月（含）往前顺推6个月内任意1个月依法缴纳税收和社会保障资金的相关材料。如依法免税或不需要缴纳社会保障资金的，提供相应证明材料； ②按要求填写招标公告附件《政府采购供应商资格信用承诺函》。</w:t>
      </w:r>
    </w:p>
    <w:p>
      <w:pPr>
        <w:pStyle w:val="null3"/>
      </w:pPr>
      <w:r>
        <w:rPr/>
        <w:t>3）具有良好的商业信誉和健全的财务会计制度：提供以下四种证明材料之一即可： ①经会计师事务所审计的2024年度财务报告（财务报告由第三方会计师事务所出具，能清晰显示第三方会计师事务所的印章，并能反映审计结论）； ②基本开户银行出具的资信证明（资信证明应在开标时间当月（含）往前顺推6个月以内出具）； ③财政部门认可的政府采购专业担保机构出具的投标担保函。 ④按要求填写招标公告附件《政府采购供应商资格信用承诺函》。</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须提供下列任一项证明材料：①提供《政府采购供应商资格信用承诺函》（格式详见附件）；②参照投标（报价）函相关承诺格式内容。说明：重大违法记录，是指供应商因违法经营受到刑事处罚或者责令停产停业、吊销许可证或者执照、较大数额罚款等行政处罚。（对于“较大数额罚款”，根据《财政部关于〈中华人民共和国政府采购法实施条例〉第十九条第一款“较大数额罚款”具体适用问题的意见》（财库〔2022〕3号），明确《中华人民共和国政府采购法实施条例》第十九条第一款规定的“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采购包1（档案数字化加工服务第八期）：</w:t>
      </w:r>
      <w:r>
        <w:rPr/>
        <w:t>采购包整体专门面向中小企业采购，监狱企业、残疾人福利性单位视同小型、微型企业。（1）中小企业评审及《中小企业声明函》填写要求①本项目为服务类项目，服务全部由符合政策要求的中小企业承接，供应商须根据本项目采购类别选择对应的《中小企业声明函》填写。②根据中小企业划分标准，本项目所属行业为软件和信息技术服务业。③供应商提交的《中小企业声明函》应按要求完整填报所有信息。（2）监狱企业评审要求：提供由省级以上监狱管理局、戒毒管理局（含新疆生产建设兵团）出具的属于监狱企业的证明文件。（3）残疾人福利性单位评审要求：提供《残疾人福利性单位声明函》。</w:t>
      </w:r>
    </w:p>
    <w:p>
      <w:pPr>
        <w:pStyle w:val="null3"/>
        <w:outlineLvl w:val="3"/>
      </w:pPr>
      <w:r>
        <w:rPr>
          <w:sz w:val="24"/>
          <w:b/>
        </w:rPr>
        <w:t>3.本项目特定的资格要求：</w:t>
      </w:r>
    </w:p>
    <w:p>
      <w:pPr>
        <w:pStyle w:val="null3"/>
      </w:pPr>
      <w:r>
        <w:rPr/>
        <w:t>采购包1（档案数字化加工服务第八期）：</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广东鼎信招标采购有限公司网站（www.gddingxin.com）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佛山市南海区人民法院</w:t>
      </w:r>
    </w:p>
    <w:p>
      <w:pPr>
        <w:pStyle w:val="null3"/>
        <w:ind w:firstLine="480"/>
      </w:pPr>
      <w:r>
        <w:rPr/>
        <w:t xml:space="preserve"> 地址：</w:t>
      </w:r>
      <w:r>
        <w:rPr/>
        <w:t>佛山市南海区桂城街道海五路5号</w:t>
      </w:r>
    </w:p>
    <w:p>
      <w:pPr>
        <w:pStyle w:val="null3"/>
        <w:ind w:firstLine="480"/>
      </w:pPr>
      <w:r>
        <w:rPr/>
        <w:t xml:space="preserve"> 联系方式：</w:t>
      </w:r>
      <w:r>
        <w:rPr/>
        <w:t>0757-81852587</w:t>
      </w:r>
    </w:p>
    <w:p>
      <w:pPr>
        <w:pStyle w:val="null3"/>
        <w:outlineLvl w:val="3"/>
      </w:pPr>
      <w:r>
        <w:rPr>
          <w:sz w:val="24"/>
          <w:b/>
        </w:rPr>
        <w:t xml:space="preserve"> 2.采购代理机构信息</w:t>
      </w:r>
    </w:p>
    <w:p>
      <w:pPr>
        <w:pStyle w:val="null3"/>
        <w:ind w:firstLine="480"/>
      </w:pPr>
      <w:r>
        <w:rPr/>
        <w:t xml:space="preserve"> 名称：</w:t>
      </w:r>
      <w:r>
        <w:rPr/>
        <w:t>广东鼎信招标采购有限公司</w:t>
      </w:r>
    </w:p>
    <w:p>
      <w:pPr>
        <w:pStyle w:val="null3"/>
        <w:ind w:firstLine="480"/>
      </w:pPr>
      <w:r>
        <w:rPr/>
        <w:t xml:space="preserve"> 地址：</w:t>
      </w:r>
      <w:r>
        <w:rPr/>
        <w:t>佛山市南海区桂城街道佛平二路112号东骏大厦第十二层1205-1206室</w:t>
      </w:r>
    </w:p>
    <w:p>
      <w:pPr>
        <w:pStyle w:val="null3"/>
        <w:ind w:firstLine="480"/>
      </w:pPr>
      <w:r>
        <w:rPr/>
        <w:t xml:space="preserve"> 联系方式：</w:t>
      </w:r>
      <w:r>
        <w:rPr/>
        <w:t>020-87188551、020-38939476</w:t>
      </w:r>
    </w:p>
    <w:p>
      <w:pPr>
        <w:pStyle w:val="null3"/>
        <w:outlineLvl w:val="3"/>
      </w:pPr>
      <w:r>
        <w:rPr>
          <w:sz w:val="24"/>
          <w:b/>
        </w:rPr>
        <w:t xml:space="preserve"> 3.项目联系方式</w:t>
      </w:r>
    </w:p>
    <w:p>
      <w:pPr>
        <w:pStyle w:val="null3"/>
        <w:ind w:firstLine="480"/>
      </w:pPr>
      <w:r>
        <w:rPr/>
        <w:t xml:space="preserve"> 项目联系人：</w:t>
      </w:r>
      <w:r>
        <w:rPr/>
        <w:t>王小姐、李小姐</w:t>
      </w:r>
    </w:p>
    <w:p>
      <w:pPr>
        <w:pStyle w:val="null3"/>
        <w:ind w:firstLine="480"/>
      </w:pPr>
      <w:r>
        <w:rPr/>
        <w:t xml:space="preserve"> 电话：</w:t>
      </w:r>
      <w:r>
        <w:rPr/>
        <w:t>020-87188551、020-38939476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广东鼎信招标采购有限公司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8"/>
        </w:rPr>
        <w:t>为方便案件当事人、采购人业务部门查阅利用，维护档案的安全性和整体性，现计划继续以公开招标的方式选取供应商，为采购人部分民商事案件、刑事案件、执行案件进行整理和部分数字化工作。属于本次需整理和数字化范围的案件约有</w:t>
      </w:r>
      <w:r>
        <w:rPr>
          <w:sz w:val="28"/>
        </w:rPr>
        <w:t>9万3千件（其中新归档需初次整理的案件约3.5万件、需数字化的新案约4.5万件、需数字化的旧案约1.3万件），扫描件数按实际结算情况计算。对上述案件进行规范整理及数字化扫描加工，建成资料齐全的电子档案数据库，将扫描成果导入到现有审判业务系统及档案系统中，能实现电子档案的查询利用。</w:t>
      </w:r>
    </w:p>
    <w:p>
      <w:pPr>
        <w:pStyle w:val="null3"/>
      </w:pPr>
      <w:r>
        <w:rPr/>
        <w:t>采购包1（档案数字化加工服务第八期）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合同签订之日起按中标单价累计结算服务费达到合同总价的95%或以上后合同可终止。</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1期：支付比例30%,合同签订且采购人收到中标人发票后五个工作日内，采购人支付中标人30%的合同款项；</w:t>
            </w:r>
          </w:p>
          <w:p>
            <w:pPr>
              <w:pStyle w:val="null3"/>
            </w:pPr>
            <w:r>
              <w:rPr/>
              <w:t>2期：支付比例65%,中标人完成30%的合同进度后，合同65%的款项分五期支付，每期支付约13%，据实结算。中标人对应合同履行进度应不低于款项支付进度，中标人申请付款时应提交合同履行进度及验收清单分批验收结算，每期费用在分批验收后的十五个工作日内支付；</w:t>
            </w:r>
          </w:p>
          <w:p>
            <w:pPr>
              <w:pStyle w:val="null3"/>
            </w:pPr>
            <w:r>
              <w:rPr/>
              <w:t>3期：支付比例5%,项目完工并通过采购人验收后，十五个工作日内，支付中标人5%的合同款项。</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1期：验收要求 中标人要对纸质档案和电子数据进行全面质检，数据挂接前，应对完成加工的纸质档案和相应电子数据进行全部质检；数据挂接后，应按不低于20%的比例抽检挂接的电子数据。质检需形成书面报告，质检通过后才能交付采购人验收，并需将质检报告一并提交采购人备查。提交验收的档案数量应保持均衡，每批数量应在800件至1000件，每周2至3次为宜。 采购人对加工单位挂接完毕的档案实体、目录信息、著录信息与图像质量进行验收。验收以抽检方式进行，抽检合格率达到95%以上的，在验收报告上签署验收意见予以验收通过；合格率低于95%的，提交验收的当批数据全部发回中标人重新处理。 验收意见中发现的问题，中标人应及时修正，重新上传。 （1）凡装订不合格、错误明显的，经档案管理部门检查指出仍拒不改正的，按每起100元对中标人予以处罚； （2）收到业务部门投诉或受到采购人案卷评查部门通报批评，经核实属于装订错误的，按每起100元对中标人予以处罚；其中性质严重的，按每起500元予以处罚； （3）受到上级法院评查批评，属于装订错误，按每起200元对中标人予以处罚；其中性质严重的，按每起1000元予以处罚。 （4）错误性质严重的情况包括：①不同案件的案卷材料混同装订的；②明显属于副卷的材料（如：本单位内部的请示、报告和批示，采购人向上级领导部门及其他监督机关做的情况汇报及上级机关的批示，合议庭笔录，审委会讨论案件记录、裁判文书的签发底稿、案件评查材料等）装订入正卷的；③漏装重要案件材料：起诉状或起诉书、立案登记表或通知书、诉讼费票据（无票据的须有同意减、免、缓交诉讼费的审批表）、开庭案件的开庭笔录、以调解方式结案的调解笔录、结案裁判文书或审批表等；④页码顺序错误；⑤其他经院领导研究认定为错误性质严重的情况。 合格率低于95%，采购人有权终止合同，根据实际加工合格的卷数付清款项，并且中标人必须向采购人赔偿合同总金额的5%作补偿。所加工的成果必须符合广东省高级人民法院和广东省档案局的接收标准和数字化加工要求。</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、其他</w:t>
            </w:r>
          </w:p>
          <w:p>
            <w:pPr>
              <w:pStyle w:val="null3"/>
            </w:pPr>
            <w:r>
              <w:rPr/>
              <w:t>账号：2013019909200068717</w:t>
            </w:r>
          </w:p>
          <w:p>
            <w:pPr>
              <w:pStyle w:val="null3"/>
            </w:pPr>
            <w:r>
              <w:rPr/>
              <w:t>户名：佛山市南海区人民法院</w:t>
            </w:r>
          </w:p>
          <w:p>
            <w:pPr>
              <w:pStyle w:val="null3"/>
            </w:pPr>
            <w:r>
              <w:rPr/>
              <w:t>开户行：中国工商银行佛山南海城区支行</w:t>
            </w:r>
          </w:p>
          <w:p>
            <w:pPr>
              <w:pStyle w:val="null3"/>
            </w:pPr>
            <w:r>
              <w:rPr/>
              <w:t>说明：合同签订前中标人向采购人通过银行转账的方式或履约保函（保险）形式交纳合同总价5%的款项作为履约保证金，项目整体验收合格满一年无违约行为的，采购人在五个工作日内无息退回。</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项目报价为折扣率报价，投标人根据采购文件中给出的投标单价上限统一填报折扣率。中标人所填报的折扣率为中标折扣率，结算金额为采购文件约定的单价上限*中标折扣率。举例：诉讼档案初验的单价上限为2.5元。如中标折扣率为90%，则中标单价为2.5元*90%，等于2.25元。 （2）报价有效范围：投标人须根据企业自身能力报出投标折扣率【注：投标折扣率精确到小数点后两位，第三位小数四舍五入，范围为：0.00%＜投标折扣率≤100.00%】</w:t>
            </w:r>
          </w:p>
        </w:tc>
      </w:tr>
      <w:tr>
        <w:tc>
          <w:tcPr>
            <w:tcW w:type="dxa" w:w="2076"/>
          </w:tcPr>
          <w:p/>
        </w:tc>
        <w:tc>
          <w:tcPr>
            <w:tcW w:type="dxa" w:w="2076"/>
          </w:tcPr>
          <w:p>
            <w:pPr>
              <w:pStyle w:val="null3"/>
              <w:jc w:val="center"/>
            </w:pPr>
            <w:r>
              <w:rPr/>
              <w:t>2</w:t>
            </w:r>
          </w:p>
        </w:tc>
        <w:tc>
          <w:tcPr>
            <w:tcW w:type="dxa" w:w="2076"/>
          </w:tcPr>
          <w:p>
            <w:pPr>
              <w:pStyle w:val="null3"/>
              <w:jc w:val="left"/>
            </w:pPr>
            <w:r>
              <w:rPr/>
              <w:t>付款要求</w:t>
            </w:r>
          </w:p>
        </w:tc>
        <w:tc>
          <w:tcPr>
            <w:tcW w:type="dxa" w:w="2076"/>
          </w:tcPr>
          <w:p>
            <w:pPr>
              <w:pStyle w:val="null3"/>
              <w:jc w:val="left"/>
            </w:pPr>
            <w:r>
              <w:rPr/>
              <w:t>（1）因采购人使用的是财政资金，采购人在前款规定的付款时间为向政府采购支付部门提出办理财政支付申请手续的时间（不含政府财政支付部门审核的时间），在规定时间内提出支付申请手续后即视为采购人已经按期支付。 （2）如中标人存在违约情况，所有扣罚款项在履约保证金退回前从履约保证金中抵扣。 （3）付款期间如因特殊情况需调整，由双方协商处理。</w:t>
            </w:r>
          </w:p>
        </w:tc>
      </w:tr>
      <w:tr>
        <w:tc>
          <w:tcPr>
            <w:tcW w:type="dxa" w:w="2076"/>
          </w:tcPr>
          <w:p/>
        </w:tc>
        <w:tc>
          <w:tcPr>
            <w:tcW w:type="dxa" w:w="2076"/>
          </w:tcPr>
          <w:p>
            <w:pPr>
              <w:pStyle w:val="null3"/>
              <w:jc w:val="center"/>
            </w:pPr>
            <w:r>
              <w:rPr/>
              <w:t>3</w:t>
            </w:r>
          </w:p>
        </w:tc>
        <w:tc>
          <w:tcPr>
            <w:tcW w:type="dxa" w:w="2076"/>
          </w:tcPr>
          <w:p>
            <w:pPr>
              <w:pStyle w:val="null3"/>
              <w:jc w:val="left"/>
            </w:pPr>
            <w:r>
              <w:rPr/>
              <w:t>其他要求</w:t>
            </w:r>
          </w:p>
        </w:tc>
        <w:tc>
          <w:tcPr>
            <w:tcW w:type="dxa" w:w="2076"/>
          </w:tcPr>
          <w:p>
            <w:pPr>
              <w:pStyle w:val="null3"/>
              <w:jc w:val="left"/>
            </w:pPr>
            <w:r>
              <w:rPr/>
              <w:t>（1）数字化所需的全部软硬件配套、人员投入、整理装订所必须使用的牛皮纸、档案盒文具、耗材等费用，均由中标人负担，如：提供完成档案扫描加工服务所需各种硬件设备（办公桌椅、电脑设备、扫描仪、打印机、装订机、移动硬盘及刻录设备等）、软件、档案存放架、档案运送车等加工场内配备、材料（夹子、文具等装订、裱补材料和工具以及其它材料）、消耗等。 （2）质量自检：中标人必须建立严格的质量检测体系，对加工的数据进行认真负责的自检，自检达到数据质量标准后，才能交付给采购人验收。 （3）技术支持和售后服务：中标人须提供从项目整体验收合格之日起，提供三年的免费质保期服务。无论在质保期内还是质保期满后，中标人负责对其实施的项目提供24小时不间断技术支持服务，全方位响应需求。在2小时内到达现场，并最迟在第2个工作日内排除错误，2个工作日内不能解决的，采取临时应急等措施，以保证采购人的正常使用。免费维护期满后提供的技术支持和维护，只收取成本价。三年内如因采购人单位自身系统升级而需要进行档案扫描数据的升迁，需要配合系统开发商提供免费数据升迁服务，保障数据能合格进入新系统中。为故障移动硬盘提供补录服务。 （4）中标人需及时将项目实施情况汇报给采购人，及时告知项目实施过程中存在的各种风险及防范措施，每月定期向采购人提交工作进度报告。 （5）出于保密考虑，数字化工作完成后，中标人所有电脑的硬盘、移动存储介质及无法确保数据可靠清除的设备的所有权均属采购人所有。 （6）合同终止或项目整体验收合格后，中标人需无条件配合采购人做好项目的交接工作，保证采购人数字化项目能继续顺利开展。</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其他服务</w:t>
            </w:r>
          </w:p>
        </w:tc>
        <w:tc>
          <w:tcPr>
            <w:tcW w:type="dxa" w:w="831"/>
          </w:tcPr>
          <w:p>
            <w:pPr>
              <w:pStyle w:val="null3"/>
              <w:jc w:val="left"/>
            </w:pPr>
            <w:r>
              <w:rPr/>
              <w:t>档案数字化加工服务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2,000,000.00</w:t>
            </w:r>
          </w:p>
        </w:tc>
        <w:tc>
          <w:tcPr>
            <w:tcW w:type="dxa" w:w="831"/>
          </w:tcPr>
          <w:p>
            <w:pPr>
              <w:pStyle w:val="null3"/>
              <w:jc w:val="right"/>
            </w:pPr>
            <w:r>
              <w:rPr/>
              <w:t>2,000,000.00</w:t>
            </w:r>
          </w:p>
        </w:tc>
        <w:tc>
          <w:tcPr>
            <w:tcW w:type="dxa" w:w="831"/>
          </w:tcPr>
          <w:p>
            <w:pPr>
              <w:pStyle w:val="null3"/>
            </w:pPr>
            <w:r>
              <w:rPr/>
              <w:t>100.0</w:t>
            </w:r>
          </w:p>
        </w:tc>
        <w:tc>
          <w:tcPr>
            <w:tcW w:type="dxa" w:w="831"/>
          </w:tcPr>
          <w:p>
            <w:pPr>
              <w:pStyle w:val="null3"/>
            </w:pPr>
            <w:r>
              <w:rPr/>
              <w:t>软件和信息技术服务业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档案数字化加工服务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8"/>
                <w:b/>
              </w:rPr>
              <w:t>一、项目情况</w:t>
            </w:r>
          </w:p>
          <w:p>
            <w:pPr>
              <w:pStyle w:val="null3"/>
              <w:jc w:val="left"/>
            </w:pPr>
            <w:r>
              <w:rPr>
                <w:sz w:val="24"/>
              </w:rPr>
              <w:t>为方便案件当事人、采购人业务部门查阅利用，维护档案的安全性和整体性，现计划继续以公开招标的方式选取供应商，为采购人部分民商事案件、刑事案件、执行案件进行整理和部分数字化工作。属于本次需整理和数字化范围的案件约有9万3千件（其中新归档需初次整理的案件约3.5万件、需数字化的新案约4.5万件、需数字化的旧案约1.3万件），扫描件数按实际结算情况计算。对上述案件进行规范整理及数字化扫描加工，建成资料齐全的电子档案数据库，将扫描成果导入到现有审判业务系统及档案系统中，能实现电子档案的查询利用。</w:t>
            </w:r>
          </w:p>
          <w:p>
            <w:pPr>
              <w:pStyle w:val="null3"/>
              <w:jc w:val="both"/>
            </w:pPr>
            <w:r>
              <w:rPr>
                <w:sz w:val="28"/>
                <w:b/>
              </w:rPr>
              <w:t>二、项目参考及依据的标准</w:t>
            </w:r>
          </w:p>
          <w:p>
            <w:pPr>
              <w:pStyle w:val="null3"/>
              <w:jc w:val="left"/>
            </w:pPr>
            <w:r>
              <w:rPr>
                <w:sz w:val="22"/>
              </w:rPr>
              <w:t>1、《中华人民共和国档案法》；</w:t>
            </w:r>
          </w:p>
          <w:p>
            <w:pPr>
              <w:pStyle w:val="null3"/>
              <w:jc w:val="left"/>
            </w:pPr>
            <w:r>
              <w:rPr>
                <w:sz w:val="22"/>
              </w:rPr>
              <w:t>2、《人民法院档案工作规定》；</w:t>
            </w:r>
          </w:p>
          <w:p>
            <w:pPr>
              <w:pStyle w:val="null3"/>
              <w:jc w:val="left"/>
            </w:pPr>
            <w:r>
              <w:rPr>
                <w:sz w:val="22"/>
              </w:rPr>
              <w:t>3、《人民法院诉讼档案管理办法》；</w:t>
            </w:r>
          </w:p>
          <w:p>
            <w:pPr>
              <w:pStyle w:val="null3"/>
              <w:jc w:val="left"/>
            </w:pPr>
            <w:r>
              <w:rPr>
                <w:sz w:val="22"/>
              </w:rPr>
              <w:t>4、《人民法院电子诉讼档案管理暂行办法》；</w:t>
            </w:r>
          </w:p>
          <w:p>
            <w:pPr>
              <w:pStyle w:val="null3"/>
              <w:jc w:val="left"/>
            </w:pPr>
            <w:r>
              <w:rPr>
                <w:sz w:val="22"/>
              </w:rPr>
              <w:t>5、《档案服务外包工作规范第4部分：档案整理服务》（DA/T 68.4-2022）；</w:t>
            </w:r>
          </w:p>
          <w:p>
            <w:pPr>
              <w:pStyle w:val="null3"/>
              <w:jc w:val="left"/>
            </w:pPr>
            <w:r>
              <w:rPr>
                <w:sz w:val="22"/>
              </w:rPr>
              <w:t>6、《纸质档案数字化规范》（DA/T 31-2017）；</w:t>
            </w:r>
          </w:p>
          <w:p>
            <w:pPr>
              <w:pStyle w:val="null3"/>
              <w:jc w:val="left"/>
            </w:pPr>
            <w:r>
              <w:rPr>
                <w:sz w:val="22"/>
              </w:rPr>
              <w:t>7、《档案数字化外包安全管理规范》；</w:t>
            </w:r>
          </w:p>
          <w:p>
            <w:pPr>
              <w:pStyle w:val="null3"/>
              <w:jc w:val="left"/>
            </w:pPr>
            <w:r>
              <w:rPr>
                <w:sz w:val="22"/>
              </w:rPr>
              <w:t>8、《档案著录规则》（DA/T 18-2022）；</w:t>
            </w:r>
          </w:p>
          <w:p>
            <w:pPr>
              <w:pStyle w:val="null3"/>
              <w:jc w:val="left"/>
            </w:pPr>
            <w:r>
              <w:rPr>
                <w:sz w:val="22"/>
              </w:rPr>
              <w:t>9、《电子诉讼档案著录规则》；</w:t>
            </w:r>
          </w:p>
          <w:p>
            <w:pPr>
              <w:pStyle w:val="null3"/>
              <w:jc w:val="left"/>
            </w:pPr>
            <w:r>
              <w:rPr>
                <w:sz w:val="22"/>
              </w:rPr>
              <w:t>10、《档案修裱技术规范》（DA/T 25-2022）；</w:t>
            </w:r>
          </w:p>
          <w:p>
            <w:pPr>
              <w:pStyle w:val="null3"/>
              <w:jc w:val="left"/>
            </w:pPr>
            <w:r>
              <w:rPr>
                <w:sz w:val="22"/>
              </w:rPr>
              <w:t>11、《实物档案数字化规范》（DA/T 89-2022）；</w:t>
            </w:r>
          </w:p>
          <w:p>
            <w:pPr>
              <w:pStyle w:val="null3"/>
              <w:jc w:val="left"/>
            </w:pPr>
            <w:r>
              <w:rPr>
                <w:sz w:val="22"/>
              </w:rPr>
              <w:t>12、《广东省高级人民法院纸质档案数字化技术标准》；</w:t>
            </w:r>
          </w:p>
          <w:p>
            <w:pPr>
              <w:pStyle w:val="null3"/>
              <w:jc w:val="left"/>
            </w:pPr>
            <w:r>
              <w:rPr>
                <w:sz w:val="22"/>
              </w:rPr>
              <w:t>13、广东省高级人民法院的档案信息化管理系统及其他相关行业标准的要求；</w:t>
            </w:r>
          </w:p>
          <w:p>
            <w:pPr>
              <w:pStyle w:val="null3"/>
              <w:jc w:val="left"/>
            </w:pPr>
            <w:r>
              <w:rPr>
                <w:sz w:val="22"/>
              </w:rPr>
              <w:t>14、南海区人民法院诉讼档案立卷办法及立卷指引。</w:t>
            </w:r>
          </w:p>
          <w:p>
            <w:pPr>
              <w:pStyle w:val="null3"/>
              <w:jc w:val="left"/>
            </w:pPr>
            <w:r>
              <w:rPr>
                <w:sz w:val="22"/>
              </w:rPr>
              <w:t>说明：如以上标准有最新版本，按最新版本执行。</w:t>
            </w:r>
          </w:p>
          <w:p>
            <w:pPr>
              <w:pStyle w:val="null3"/>
              <w:jc w:val="both"/>
            </w:pPr>
            <w:r>
              <w:rPr>
                <w:sz w:val="24"/>
                <w:b/>
              </w:rPr>
              <w:t xml:space="preserve"> </w:t>
            </w:r>
          </w:p>
          <w:p>
            <w:pPr>
              <w:pStyle w:val="null3"/>
              <w:jc w:val="both"/>
            </w:pPr>
            <w:r>
              <w:rPr>
                <w:sz w:val="28"/>
                <w:b/>
              </w:rPr>
              <w:t>三、服务范围、期限及金额</w:t>
            </w:r>
          </w:p>
          <w:p>
            <w:pPr>
              <w:pStyle w:val="null3"/>
              <w:jc w:val="left"/>
            </w:pPr>
            <w:r>
              <w:rPr>
                <w:sz w:val="22"/>
              </w:rPr>
              <w:t xml:space="preserve"> </w:t>
            </w:r>
            <w:r>
              <w:rPr>
                <w:sz w:val="22"/>
              </w:rPr>
              <w:t>服务范围：本次需整理和数字化范围的案件约有</w:t>
            </w:r>
            <w:r>
              <w:rPr>
                <w:sz w:val="22"/>
              </w:rPr>
              <w:t>9万3千件（其中新归档需初次整理的案件约3.5万件、需数字化的新案约4.5万件、需数字化的旧案约1.3万件）。数字化所需的全部软硬件配套、人员投入、整理装订所必须使用的牛皮纸、档案盒文具、耗材等费用，均由中标人负担。</w:t>
            </w:r>
          </w:p>
          <w:p>
            <w:pPr>
              <w:pStyle w:val="null3"/>
              <w:jc w:val="left"/>
            </w:pPr>
            <w:r>
              <w:rPr>
                <w:sz w:val="22"/>
              </w:rPr>
              <w:t>服务期限：合同签订之日起按中标单价累计结算服务费达到合同总价的</w:t>
            </w:r>
            <w:r>
              <w:rPr>
                <w:sz w:val="22"/>
              </w:rPr>
              <w:t>95%或以上后合同可终止。</w:t>
            </w:r>
          </w:p>
          <w:p>
            <w:pPr>
              <w:pStyle w:val="null3"/>
              <w:jc w:val="left"/>
            </w:pPr>
            <w:r>
              <w:rPr>
                <w:sz w:val="22"/>
              </w:rPr>
              <w:t>★本项目服务实施过程中若遇国家政策变化或系统升级所需等因素，则本项目合同终止，项目服务金额据实结算。</w:t>
            </w:r>
          </w:p>
          <w:p>
            <w:pPr>
              <w:pStyle w:val="null3"/>
              <w:jc w:val="left"/>
            </w:pPr>
            <w:r>
              <w:rPr>
                <w:sz w:val="22"/>
              </w:rPr>
              <w:t>金额：人民币</w:t>
            </w:r>
            <w:r>
              <w:rPr>
                <w:sz w:val="22"/>
              </w:rPr>
              <w:t>200万元</w:t>
            </w:r>
          </w:p>
          <w:tbl>
            <w:tblPr>
              <w:tblInd w:type="dxa" w:w="135"/>
              <w:tblBorders>
                <w:top w:val="none" w:color="000000" w:sz="4"/>
                <w:left w:val="none" w:color="000000" w:sz="4"/>
                <w:bottom w:val="none" w:color="000000" w:sz="4"/>
                <w:right w:val="none" w:color="000000" w:sz="4"/>
                <w:insideH w:val="none"/>
                <w:insideV w:val="none"/>
              </w:tblBorders>
            </w:tblPr>
            <w:tblGrid>
              <w:gridCol w:w="306"/>
              <w:gridCol w:w="686"/>
              <w:gridCol w:w="711"/>
              <w:gridCol w:w="2448"/>
              <w:gridCol w:w="447"/>
              <w:gridCol w:w="521"/>
              <w:gridCol w:w="480"/>
            </w:tblGrid>
            <w:tr>
              <w:tc>
                <w:tcPr>
                  <w:tcW w:type="dxa" w:w="306"/>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b/>
                      <w:color w:val="000000"/>
                    </w:rPr>
                    <w:t>序号</w:t>
                  </w:r>
                </w:p>
              </w:tc>
              <w:tc>
                <w:tcPr>
                  <w:tcW w:type="dxa" w:w="1397"/>
                  <w:gridSpan w:val="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b/>
                      <w:color w:val="000000"/>
                    </w:rPr>
                    <w:t>工作项</w:t>
                  </w:r>
                </w:p>
              </w:tc>
              <w:tc>
                <w:tcPr>
                  <w:tcW w:type="dxa" w:w="2448"/>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b/>
                      <w:color w:val="000000"/>
                    </w:rPr>
                    <w:t>工作内容</w:t>
                  </w:r>
                </w:p>
              </w:tc>
              <w:tc>
                <w:tcPr>
                  <w:tcW w:type="dxa" w:w="44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b/>
                      <w:color w:val="000000"/>
                    </w:rPr>
                    <w:t>预估数量（件）</w:t>
                  </w:r>
                </w:p>
              </w:tc>
              <w:tc>
                <w:tcPr>
                  <w:tcW w:type="dxa" w:w="521"/>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b/>
                      <w:color w:val="000000"/>
                    </w:rPr>
                    <w:t>单价上限（元</w:t>
                  </w:r>
                  <w:r>
                    <w:rPr>
                      <w:sz w:val="22"/>
                      <w:b/>
                      <w:color w:val="000000"/>
                    </w:rPr>
                    <w:t>/件）</w:t>
                  </w:r>
                </w:p>
              </w:tc>
              <w:tc>
                <w:tcPr>
                  <w:tcW w:type="dxa" w:w="48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b/>
                      <w:color w:val="000000"/>
                    </w:rPr>
                    <w:t>金额（元）</w:t>
                  </w:r>
                </w:p>
              </w:tc>
            </w:tr>
            <w:tr>
              <w:tc>
                <w:tcPr>
                  <w:tcW w:type="dxa" w:w="3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1</w:t>
                  </w:r>
                </w:p>
              </w:tc>
              <w:tc>
                <w:tcPr>
                  <w:tcW w:type="dxa" w:w="1397"/>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诉讼档案初验</w:t>
                  </w:r>
                </w:p>
              </w:tc>
              <w:tc>
                <w:tcPr>
                  <w:tcW w:type="dxa" w:w="24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2"/>
                    </w:rPr>
                    <w:t>诉讼档案规范化初验工作，具体工作内容包括：各庭室待归档档案散件运送至采购人档案室签收后，由中标人工作人员按初验标准核对档案材料准确性，如案件经办人签名、档案材料排序、档案材料是否缺失等，有问题的案件回退，无问题的则完成入库上架工作。</w:t>
                  </w:r>
                </w:p>
              </w:tc>
              <w:tc>
                <w:tcPr>
                  <w:tcW w:type="dxa" w:w="4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35000</w:t>
                  </w:r>
                </w:p>
              </w:tc>
              <w:tc>
                <w:tcPr>
                  <w:tcW w:type="dxa" w:w="5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2.5</w:t>
                  </w:r>
                </w:p>
              </w:tc>
              <w:tc>
                <w:tcPr>
                  <w:tcW w:type="dxa" w:w="4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87500</w:t>
                  </w:r>
                </w:p>
              </w:tc>
            </w:tr>
            <w:tr>
              <w:tc>
                <w:tcPr>
                  <w:tcW w:type="dxa" w:w="3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2</w:t>
                  </w:r>
                </w:p>
              </w:tc>
              <w:tc>
                <w:tcPr>
                  <w:tcW w:type="dxa" w:w="1397"/>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诉讼档案装订流程</w:t>
                  </w:r>
                </w:p>
              </w:tc>
              <w:tc>
                <w:tcPr>
                  <w:tcW w:type="dxa" w:w="24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2"/>
                    </w:rPr>
                    <w:t>诉讼档案规范整理工作，具体工作内容包括：中标人工作人员按采购人归档要求，对已完成初验的上架案件档案，进行打码、分目录、著录封面信息、打盒子、打封面、实体档案质检、档案装订、入库上架工作。</w:t>
                  </w:r>
                </w:p>
              </w:tc>
              <w:tc>
                <w:tcPr>
                  <w:tcW w:type="dxa" w:w="4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200</w:t>
                  </w:r>
                </w:p>
              </w:tc>
              <w:tc>
                <w:tcPr>
                  <w:tcW w:type="dxa" w:w="5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15</w:t>
                  </w:r>
                </w:p>
              </w:tc>
              <w:tc>
                <w:tcPr>
                  <w:tcW w:type="dxa" w:w="4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3000</w:t>
                  </w:r>
                </w:p>
              </w:tc>
            </w:tr>
            <w:tr>
              <w:tc>
                <w:tcPr>
                  <w:tcW w:type="dxa" w:w="306"/>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3</w:t>
                  </w:r>
                </w:p>
              </w:tc>
              <w:tc>
                <w:tcPr>
                  <w:tcW w:type="dxa" w:w="68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诉讼档案装订扫描全流程处理（非刑事新案）</w:t>
                  </w:r>
                </w:p>
              </w:tc>
              <w:tc>
                <w:tcPr>
                  <w:tcW w:type="dxa" w:w="7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800页以下</w:t>
                  </w:r>
                </w:p>
              </w:tc>
              <w:tc>
                <w:tcPr>
                  <w:tcW w:type="dxa" w:w="2448"/>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2"/>
                    </w:rPr>
                    <w:t>诉讼档案规范整理工作，具体工作内容包括：中标人工作人员按采购人归档要求，对已完成初验上架的民商事、执行类案件进行打码、分目录、著录封面信息、打盒子、打封面、档案扫描、档案修图、著录卷内目录、档案挂接、数据备份、电子档案质检、实体档案质检、档案装订、入库上架工作。</w:t>
                  </w:r>
                </w:p>
              </w:tc>
              <w:tc>
                <w:tcPr>
                  <w:tcW w:type="dxa" w:w="4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40000</w:t>
                  </w:r>
                </w:p>
              </w:tc>
              <w:tc>
                <w:tcPr>
                  <w:tcW w:type="dxa" w:w="5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37</w:t>
                  </w:r>
                </w:p>
              </w:tc>
              <w:tc>
                <w:tcPr>
                  <w:tcW w:type="dxa" w:w="48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1480000</w:t>
                  </w:r>
                </w:p>
              </w:tc>
            </w:tr>
            <w:tr>
              <w:tc>
                <w:tcPr>
                  <w:tcW w:type="dxa" w:w="306"/>
                  <w:vMerge/>
                  <w:tcBorders>
                    <w:top w:val="none" w:color="000000" w:sz="4"/>
                    <w:left w:val="single" w:color="000000" w:sz="4"/>
                    <w:bottom w:val="single" w:color="000000" w:sz="4"/>
                    <w:right w:val="single" w:color="000000" w:sz="4"/>
                  </w:tcBorders>
                </w:tcPr>
                <w:p/>
              </w:tc>
              <w:tc>
                <w:tcPr>
                  <w:tcW w:type="dxa" w:w="686"/>
                  <w:vMerge/>
                  <w:tcBorders>
                    <w:top w:val="none" w:color="000000" w:sz="4"/>
                    <w:left w:val="none" w:color="000000" w:sz="4"/>
                    <w:bottom w:val="single" w:color="000000" w:sz="4"/>
                    <w:right w:val="single" w:color="000000" w:sz="4"/>
                  </w:tcBorders>
                </w:tcPr>
                <w:p/>
              </w:tc>
              <w:tc>
                <w:tcPr>
                  <w:tcW w:type="dxa" w:w="7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801-2000页</w:t>
                  </w:r>
                </w:p>
              </w:tc>
              <w:tc>
                <w:tcPr>
                  <w:tcW w:type="dxa" w:w="2448"/>
                  <w:vMerge/>
                  <w:tcBorders>
                    <w:top w:val="none" w:color="000000" w:sz="4"/>
                    <w:left w:val="none" w:color="000000" w:sz="4"/>
                    <w:bottom w:val="single" w:color="000000" w:sz="4"/>
                    <w:right w:val="single" w:color="000000" w:sz="4"/>
                  </w:tcBorders>
                </w:tcPr>
                <w:p/>
              </w:tc>
              <w:tc>
                <w:tcPr>
                  <w:tcW w:type="dxa" w:w="4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50</w:t>
                  </w:r>
                </w:p>
              </w:tc>
              <w:tc>
                <w:tcPr>
                  <w:tcW w:type="dxa" w:w="5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111</w:t>
                  </w:r>
                </w:p>
              </w:tc>
              <w:tc>
                <w:tcPr>
                  <w:tcW w:type="dxa" w:w="4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5550</w:t>
                  </w:r>
                </w:p>
              </w:tc>
            </w:tr>
            <w:tr>
              <w:tc>
                <w:tcPr>
                  <w:tcW w:type="dxa" w:w="306"/>
                  <w:vMerge/>
                  <w:tcBorders>
                    <w:top w:val="none" w:color="000000" w:sz="4"/>
                    <w:left w:val="single" w:color="000000" w:sz="4"/>
                    <w:bottom w:val="single" w:color="000000" w:sz="4"/>
                    <w:right w:val="single" w:color="000000" w:sz="4"/>
                  </w:tcBorders>
                </w:tcPr>
                <w:p/>
              </w:tc>
              <w:tc>
                <w:tcPr>
                  <w:tcW w:type="dxa" w:w="686"/>
                  <w:vMerge/>
                  <w:tcBorders>
                    <w:top w:val="none" w:color="000000" w:sz="4"/>
                    <w:left w:val="none" w:color="000000" w:sz="4"/>
                    <w:bottom w:val="single" w:color="000000" w:sz="4"/>
                    <w:right w:val="single" w:color="000000" w:sz="4"/>
                  </w:tcBorders>
                </w:tcPr>
                <w:p/>
              </w:tc>
              <w:tc>
                <w:tcPr>
                  <w:tcW w:type="dxa" w:w="7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2001-5000页</w:t>
                  </w:r>
                </w:p>
              </w:tc>
              <w:tc>
                <w:tcPr>
                  <w:tcW w:type="dxa" w:w="2448"/>
                  <w:vMerge/>
                  <w:tcBorders>
                    <w:top w:val="none" w:color="000000" w:sz="4"/>
                    <w:left w:val="none" w:color="000000" w:sz="4"/>
                    <w:bottom w:val="single" w:color="000000" w:sz="4"/>
                    <w:right w:val="single" w:color="000000" w:sz="4"/>
                  </w:tcBorders>
                </w:tcPr>
                <w:p/>
              </w:tc>
              <w:tc>
                <w:tcPr>
                  <w:tcW w:type="dxa" w:w="4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15</w:t>
                  </w:r>
                </w:p>
              </w:tc>
              <w:tc>
                <w:tcPr>
                  <w:tcW w:type="dxa" w:w="5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185</w:t>
                  </w:r>
                </w:p>
              </w:tc>
              <w:tc>
                <w:tcPr>
                  <w:tcW w:type="dxa" w:w="4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2775</w:t>
                  </w:r>
                </w:p>
              </w:tc>
            </w:tr>
            <w:tr>
              <w:tc>
                <w:tcPr>
                  <w:tcW w:type="dxa" w:w="306"/>
                  <w:vMerge/>
                  <w:tcBorders>
                    <w:top w:val="none" w:color="000000" w:sz="4"/>
                    <w:left w:val="single" w:color="000000" w:sz="4"/>
                    <w:bottom w:val="single" w:color="000000" w:sz="4"/>
                    <w:right w:val="single" w:color="000000" w:sz="4"/>
                  </w:tcBorders>
                </w:tcPr>
                <w:p/>
              </w:tc>
              <w:tc>
                <w:tcPr>
                  <w:tcW w:type="dxa" w:w="686"/>
                  <w:vMerge/>
                  <w:tcBorders>
                    <w:top w:val="none" w:color="000000" w:sz="4"/>
                    <w:left w:val="none" w:color="000000" w:sz="4"/>
                    <w:bottom w:val="single" w:color="000000" w:sz="4"/>
                    <w:right w:val="single" w:color="000000" w:sz="4"/>
                  </w:tcBorders>
                </w:tcPr>
                <w:p/>
              </w:tc>
              <w:tc>
                <w:tcPr>
                  <w:tcW w:type="dxa" w:w="7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5001页以上</w:t>
                  </w:r>
                </w:p>
              </w:tc>
              <w:tc>
                <w:tcPr>
                  <w:tcW w:type="dxa" w:w="2448"/>
                  <w:vMerge/>
                  <w:tcBorders>
                    <w:top w:val="none" w:color="000000" w:sz="4"/>
                    <w:left w:val="none" w:color="000000" w:sz="4"/>
                    <w:bottom w:val="single" w:color="000000" w:sz="4"/>
                    <w:right w:val="single" w:color="000000" w:sz="4"/>
                  </w:tcBorders>
                </w:tcPr>
                <w:p/>
              </w:tc>
              <w:tc>
                <w:tcPr>
                  <w:tcW w:type="dxa" w:w="4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5</w:t>
                  </w:r>
                </w:p>
              </w:tc>
              <w:tc>
                <w:tcPr>
                  <w:tcW w:type="dxa" w:w="5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370</w:t>
                  </w:r>
                </w:p>
              </w:tc>
              <w:tc>
                <w:tcPr>
                  <w:tcW w:type="dxa" w:w="4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1850</w:t>
                  </w:r>
                </w:p>
              </w:tc>
            </w:tr>
            <w:tr>
              <w:tc>
                <w:tcPr>
                  <w:tcW w:type="dxa" w:w="306"/>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4</w:t>
                  </w:r>
                </w:p>
              </w:tc>
              <w:tc>
                <w:tcPr>
                  <w:tcW w:type="dxa" w:w="68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诉讼档案装订扫描全流程处理（非刑事旧案）</w:t>
                  </w:r>
                </w:p>
              </w:tc>
              <w:tc>
                <w:tcPr>
                  <w:tcW w:type="dxa" w:w="7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800页以下</w:t>
                  </w:r>
                </w:p>
              </w:tc>
              <w:tc>
                <w:tcPr>
                  <w:tcW w:type="dxa" w:w="2448"/>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2"/>
                    </w:rPr>
                    <w:t>诉讼档案规范整理工作，具体工作内容包括：中标人工作人员按采购人要求，对需处理的库存民商事、执行类旧案进行扫描全流程处理，进行库房调卷、案卷拆分、打码编目（如案卷材料破损，作衬纸处理）、档案扫描、档案修图、著录信息、电子档案质检、实体档案质检、档案挂接、数据备份、档案装订、入库上架工作。</w:t>
                  </w:r>
                </w:p>
              </w:tc>
              <w:tc>
                <w:tcPr>
                  <w:tcW w:type="dxa" w:w="4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6520</w:t>
                  </w:r>
                </w:p>
              </w:tc>
              <w:tc>
                <w:tcPr>
                  <w:tcW w:type="dxa" w:w="5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25</w:t>
                  </w:r>
                </w:p>
              </w:tc>
              <w:tc>
                <w:tcPr>
                  <w:tcW w:type="dxa" w:w="4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163000</w:t>
                  </w:r>
                </w:p>
              </w:tc>
            </w:tr>
            <w:tr>
              <w:tc>
                <w:tcPr>
                  <w:tcW w:type="dxa" w:w="306"/>
                  <w:vMerge/>
                  <w:tcBorders>
                    <w:top w:val="none" w:color="000000" w:sz="4"/>
                    <w:left w:val="single" w:color="000000" w:sz="4"/>
                    <w:bottom w:val="single" w:color="000000" w:sz="4"/>
                    <w:right w:val="single" w:color="000000" w:sz="4"/>
                  </w:tcBorders>
                </w:tcPr>
                <w:p/>
              </w:tc>
              <w:tc>
                <w:tcPr>
                  <w:tcW w:type="dxa" w:w="686"/>
                  <w:vMerge/>
                  <w:tcBorders>
                    <w:top w:val="none" w:color="000000" w:sz="4"/>
                    <w:left w:val="none" w:color="000000" w:sz="4"/>
                    <w:bottom w:val="single" w:color="000000" w:sz="4"/>
                    <w:right w:val="single" w:color="000000" w:sz="4"/>
                  </w:tcBorders>
                </w:tcPr>
                <w:p/>
              </w:tc>
              <w:tc>
                <w:tcPr>
                  <w:tcW w:type="dxa" w:w="7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801-2000页</w:t>
                  </w:r>
                </w:p>
              </w:tc>
              <w:tc>
                <w:tcPr>
                  <w:tcW w:type="dxa" w:w="2448"/>
                  <w:vMerge/>
                  <w:tcBorders>
                    <w:top w:val="none" w:color="000000" w:sz="4"/>
                    <w:left w:val="none" w:color="000000" w:sz="4"/>
                    <w:bottom w:val="single" w:color="000000" w:sz="4"/>
                    <w:right w:val="single" w:color="000000" w:sz="4"/>
                  </w:tcBorders>
                </w:tcPr>
                <w:p/>
              </w:tc>
              <w:tc>
                <w:tcPr>
                  <w:tcW w:type="dxa" w:w="4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30</w:t>
                  </w:r>
                </w:p>
              </w:tc>
              <w:tc>
                <w:tcPr>
                  <w:tcW w:type="dxa" w:w="5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111</w:t>
                  </w:r>
                </w:p>
              </w:tc>
              <w:tc>
                <w:tcPr>
                  <w:tcW w:type="dxa" w:w="4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3330</w:t>
                  </w:r>
                </w:p>
              </w:tc>
            </w:tr>
            <w:tr>
              <w:tc>
                <w:tcPr>
                  <w:tcW w:type="dxa" w:w="306"/>
                  <w:vMerge/>
                  <w:tcBorders>
                    <w:top w:val="none" w:color="000000" w:sz="4"/>
                    <w:left w:val="single" w:color="000000" w:sz="4"/>
                    <w:bottom w:val="single" w:color="000000" w:sz="4"/>
                    <w:right w:val="single" w:color="000000" w:sz="4"/>
                  </w:tcBorders>
                </w:tcPr>
                <w:p/>
              </w:tc>
              <w:tc>
                <w:tcPr>
                  <w:tcW w:type="dxa" w:w="686"/>
                  <w:vMerge/>
                  <w:tcBorders>
                    <w:top w:val="none" w:color="000000" w:sz="4"/>
                    <w:left w:val="none" w:color="000000" w:sz="4"/>
                    <w:bottom w:val="single" w:color="000000" w:sz="4"/>
                    <w:right w:val="single" w:color="000000" w:sz="4"/>
                  </w:tcBorders>
                </w:tcPr>
                <w:p/>
              </w:tc>
              <w:tc>
                <w:tcPr>
                  <w:tcW w:type="dxa" w:w="7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2001-5000页</w:t>
                  </w:r>
                </w:p>
              </w:tc>
              <w:tc>
                <w:tcPr>
                  <w:tcW w:type="dxa" w:w="2448"/>
                  <w:vMerge/>
                  <w:tcBorders>
                    <w:top w:val="none" w:color="000000" w:sz="4"/>
                    <w:left w:val="none" w:color="000000" w:sz="4"/>
                    <w:bottom w:val="single" w:color="000000" w:sz="4"/>
                    <w:right w:val="single" w:color="000000" w:sz="4"/>
                  </w:tcBorders>
                </w:tcPr>
                <w:p/>
              </w:tc>
              <w:tc>
                <w:tcPr>
                  <w:tcW w:type="dxa" w:w="4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3</w:t>
                  </w:r>
                </w:p>
              </w:tc>
              <w:tc>
                <w:tcPr>
                  <w:tcW w:type="dxa" w:w="5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185</w:t>
                  </w:r>
                </w:p>
              </w:tc>
              <w:tc>
                <w:tcPr>
                  <w:tcW w:type="dxa" w:w="4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555</w:t>
                  </w:r>
                </w:p>
              </w:tc>
            </w:tr>
            <w:tr>
              <w:tc>
                <w:tcPr>
                  <w:tcW w:type="dxa" w:w="306"/>
                  <w:vMerge/>
                  <w:tcBorders>
                    <w:top w:val="none" w:color="000000" w:sz="4"/>
                    <w:left w:val="single" w:color="000000" w:sz="4"/>
                    <w:bottom w:val="single" w:color="000000" w:sz="4"/>
                    <w:right w:val="single" w:color="000000" w:sz="4"/>
                  </w:tcBorders>
                </w:tcPr>
                <w:p/>
              </w:tc>
              <w:tc>
                <w:tcPr>
                  <w:tcW w:type="dxa" w:w="686"/>
                  <w:vMerge/>
                  <w:tcBorders>
                    <w:top w:val="none" w:color="000000" w:sz="4"/>
                    <w:left w:val="none" w:color="000000" w:sz="4"/>
                    <w:bottom w:val="single" w:color="000000" w:sz="4"/>
                    <w:right w:val="single" w:color="000000" w:sz="4"/>
                  </w:tcBorders>
                </w:tcPr>
                <w:p/>
              </w:tc>
              <w:tc>
                <w:tcPr>
                  <w:tcW w:type="dxa" w:w="7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5001页以上</w:t>
                  </w:r>
                </w:p>
              </w:tc>
              <w:tc>
                <w:tcPr>
                  <w:tcW w:type="dxa" w:w="2448"/>
                  <w:vMerge/>
                  <w:tcBorders>
                    <w:top w:val="none" w:color="000000" w:sz="4"/>
                    <w:left w:val="none" w:color="000000" w:sz="4"/>
                    <w:bottom w:val="single" w:color="000000" w:sz="4"/>
                    <w:right w:val="single" w:color="000000" w:sz="4"/>
                  </w:tcBorders>
                </w:tcPr>
                <w:p/>
              </w:tc>
              <w:tc>
                <w:tcPr>
                  <w:tcW w:type="dxa" w:w="4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1</w:t>
                  </w:r>
                </w:p>
              </w:tc>
              <w:tc>
                <w:tcPr>
                  <w:tcW w:type="dxa" w:w="5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370</w:t>
                  </w:r>
                </w:p>
              </w:tc>
              <w:tc>
                <w:tcPr>
                  <w:tcW w:type="dxa" w:w="4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370</w:t>
                  </w:r>
                </w:p>
              </w:tc>
            </w:tr>
            <w:tr>
              <w:tc>
                <w:tcPr>
                  <w:tcW w:type="dxa" w:w="306"/>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5</w:t>
                  </w:r>
                </w:p>
              </w:tc>
              <w:tc>
                <w:tcPr>
                  <w:tcW w:type="dxa" w:w="68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诉讼档案装订扫描全流程处理</w:t>
                  </w:r>
                  <w:r>
                    <w:rPr>
                      <w:sz w:val="22"/>
                      <w:color w:val="000000"/>
                    </w:rPr>
                    <w:t>(刑事案)</w:t>
                  </w:r>
                </w:p>
              </w:tc>
              <w:tc>
                <w:tcPr>
                  <w:tcW w:type="dxa" w:w="7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200页以下</w:t>
                  </w:r>
                </w:p>
              </w:tc>
              <w:tc>
                <w:tcPr>
                  <w:tcW w:type="dxa" w:w="2448"/>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2"/>
                    </w:rPr>
                    <w:t>诉讼档案规范整理工作，具体工作内容包括：中标人工作人员按采购人要求，对刑事案件进行扫描全流程处理，刑事新案进行打码、分目录、著录封面信息、打盒子、打封面、档案扫描、档案修图、著录卷内目录、档案挂接、数据备份、电子档案质检、实体档案质检、档案装订、入库上架工作。刑事库存案进行库房调卷、案卷拆分、打码编目（如案卷材料破损，作衬纸处理）、档案扫描、档案修图、著录信息、电子档案质检、实体档案质检、档案挂接、数据备份、档案装订、入库上架工作。</w:t>
                  </w:r>
                </w:p>
              </w:tc>
              <w:tc>
                <w:tcPr>
                  <w:tcW w:type="dxa" w:w="4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4000</w:t>
                  </w:r>
                </w:p>
              </w:tc>
              <w:tc>
                <w:tcPr>
                  <w:tcW w:type="dxa" w:w="5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25</w:t>
                  </w:r>
                </w:p>
              </w:tc>
              <w:tc>
                <w:tcPr>
                  <w:tcW w:type="dxa" w:w="4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100000</w:t>
                  </w:r>
                </w:p>
              </w:tc>
            </w:tr>
            <w:tr>
              <w:tc>
                <w:tcPr>
                  <w:tcW w:type="dxa" w:w="306"/>
                  <w:vMerge/>
                  <w:tcBorders>
                    <w:top w:val="none" w:color="000000" w:sz="4"/>
                    <w:left w:val="single" w:color="000000" w:sz="4"/>
                    <w:bottom w:val="single" w:color="000000" w:sz="4"/>
                    <w:right w:val="single" w:color="000000" w:sz="4"/>
                  </w:tcBorders>
                </w:tcPr>
                <w:p/>
              </w:tc>
              <w:tc>
                <w:tcPr>
                  <w:tcW w:type="dxa" w:w="686"/>
                  <w:vMerge/>
                  <w:tcBorders>
                    <w:top w:val="none" w:color="000000" w:sz="4"/>
                    <w:left w:val="none" w:color="000000" w:sz="4"/>
                    <w:bottom w:val="single" w:color="000000" w:sz="4"/>
                    <w:right w:val="single" w:color="000000" w:sz="4"/>
                  </w:tcBorders>
                </w:tcPr>
                <w:p/>
              </w:tc>
              <w:tc>
                <w:tcPr>
                  <w:tcW w:type="dxa" w:w="7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201-800页</w:t>
                  </w:r>
                </w:p>
              </w:tc>
              <w:tc>
                <w:tcPr>
                  <w:tcW w:type="dxa" w:w="2448"/>
                  <w:vMerge/>
                  <w:tcBorders>
                    <w:top w:val="none" w:color="000000" w:sz="4"/>
                    <w:left w:val="none" w:color="000000" w:sz="4"/>
                    <w:bottom w:val="single" w:color="000000" w:sz="4"/>
                    <w:right w:val="single" w:color="000000" w:sz="4"/>
                  </w:tcBorders>
                </w:tcPr>
                <w:p/>
              </w:tc>
              <w:tc>
                <w:tcPr>
                  <w:tcW w:type="dxa" w:w="4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200</w:t>
                  </w:r>
                </w:p>
              </w:tc>
              <w:tc>
                <w:tcPr>
                  <w:tcW w:type="dxa" w:w="5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85</w:t>
                  </w:r>
                </w:p>
              </w:tc>
              <w:tc>
                <w:tcPr>
                  <w:tcW w:type="dxa" w:w="4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17000</w:t>
                  </w:r>
                </w:p>
              </w:tc>
            </w:tr>
            <w:tr>
              <w:tc>
                <w:tcPr>
                  <w:tcW w:type="dxa" w:w="306"/>
                  <w:vMerge/>
                  <w:tcBorders>
                    <w:top w:val="none" w:color="000000" w:sz="4"/>
                    <w:left w:val="single" w:color="000000" w:sz="4"/>
                    <w:bottom w:val="single" w:color="000000" w:sz="4"/>
                    <w:right w:val="single" w:color="000000" w:sz="4"/>
                  </w:tcBorders>
                </w:tcPr>
                <w:p/>
              </w:tc>
              <w:tc>
                <w:tcPr>
                  <w:tcW w:type="dxa" w:w="686"/>
                  <w:vMerge/>
                  <w:tcBorders>
                    <w:top w:val="none" w:color="000000" w:sz="4"/>
                    <w:left w:val="none" w:color="000000" w:sz="4"/>
                    <w:bottom w:val="single" w:color="000000" w:sz="4"/>
                    <w:right w:val="single" w:color="000000" w:sz="4"/>
                  </w:tcBorders>
                </w:tcPr>
                <w:p/>
              </w:tc>
              <w:tc>
                <w:tcPr>
                  <w:tcW w:type="dxa" w:w="7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801-2000页</w:t>
                  </w:r>
                </w:p>
              </w:tc>
              <w:tc>
                <w:tcPr>
                  <w:tcW w:type="dxa" w:w="2448"/>
                  <w:vMerge/>
                  <w:tcBorders>
                    <w:top w:val="none" w:color="000000" w:sz="4"/>
                    <w:left w:val="none" w:color="000000" w:sz="4"/>
                    <w:bottom w:val="single" w:color="000000" w:sz="4"/>
                    <w:right w:val="single" w:color="000000" w:sz="4"/>
                  </w:tcBorders>
                </w:tcPr>
                <w:p/>
              </w:tc>
              <w:tc>
                <w:tcPr>
                  <w:tcW w:type="dxa" w:w="4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100</w:t>
                  </w:r>
                </w:p>
              </w:tc>
              <w:tc>
                <w:tcPr>
                  <w:tcW w:type="dxa" w:w="5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365</w:t>
                  </w:r>
                </w:p>
              </w:tc>
              <w:tc>
                <w:tcPr>
                  <w:tcW w:type="dxa" w:w="4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36500</w:t>
                  </w:r>
                </w:p>
              </w:tc>
            </w:tr>
            <w:tr>
              <w:tc>
                <w:tcPr>
                  <w:tcW w:type="dxa" w:w="306"/>
                  <w:vMerge/>
                  <w:tcBorders>
                    <w:top w:val="none" w:color="000000" w:sz="4"/>
                    <w:left w:val="single" w:color="000000" w:sz="4"/>
                    <w:bottom w:val="single" w:color="000000" w:sz="4"/>
                    <w:right w:val="single" w:color="000000" w:sz="4"/>
                  </w:tcBorders>
                </w:tcPr>
                <w:p/>
              </w:tc>
              <w:tc>
                <w:tcPr>
                  <w:tcW w:type="dxa" w:w="686"/>
                  <w:vMerge/>
                  <w:tcBorders>
                    <w:top w:val="none" w:color="000000" w:sz="4"/>
                    <w:left w:val="none" w:color="000000" w:sz="4"/>
                    <w:bottom w:val="single" w:color="000000" w:sz="4"/>
                    <w:right w:val="single" w:color="000000" w:sz="4"/>
                  </w:tcBorders>
                </w:tcPr>
                <w:p/>
              </w:tc>
              <w:tc>
                <w:tcPr>
                  <w:tcW w:type="dxa" w:w="7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2001-5000页</w:t>
                  </w:r>
                </w:p>
              </w:tc>
              <w:tc>
                <w:tcPr>
                  <w:tcW w:type="dxa" w:w="2448"/>
                  <w:vMerge/>
                  <w:tcBorders>
                    <w:top w:val="none" w:color="000000" w:sz="4"/>
                    <w:left w:val="none" w:color="000000" w:sz="4"/>
                    <w:bottom w:val="single" w:color="000000" w:sz="4"/>
                    <w:right w:val="single" w:color="000000" w:sz="4"/>
                  </w:tcBorders>
                </w:tcPr>
                <w:p/>
              </w:tc>
              <w:tc>
                <w:tcPr>
                  <w:tcW w:type="dxa" w:w="4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30</w:t>
                  </w:r>
                </w:p>
              </w:tc>
              <w:tc>
                <w:tcPr>
                  <w:tcW w:type="dxa" w:w="5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800</w:t>
                  </w:r>
                </w:p>
              </w:tc>
              <w:tc>
                <w:tcPr>
                  <w:tcW w:type="dxa" w:w="4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24000</w:t>
                  </w:r>
                </w:p>
              </w:tc>
            </w:tr>
            <w:tr>
              <w:tc>
                <w:tcPr>
                  <w:tcW w:type="dxa" w:w="306"/>
                  <w:vMerge/>
                  <w:tcBorders>
                    <w:top w:val="none" w:color="000000" w:sz="4"/>
                    <w:left w:val="single" w:color="000000" w:sz="4"/>
                    <w:bottom w:val="single" w:color="000000" w:sz="4"/>
                    <w:right w:val="single" w:color="000000" w:sz="4"/>
                  </w:tcBorders>
                </w:tcPr>
                <w:p/>
              </w:tc>
              <w:tc>
                <w:tcPr>
                  <w:tcW w:type="dxa" w:w="686"/>
                  <w:vMerge/>
                  <w:tcBorders>
                    <w:top w:val="none" w:color="000000" w:sz="4"/>
                    <w:left w:val="none" w:color="000000" w:sz="4"/>
                    <w:bottom w:val="single" w:color="000000" w:sz="4"/>
                    <w:right w:val="single" w:color="000000" w:sz="4"/>
                  </w:tcBorders>
                </w:tcPr>
                <w:p/>
              </w:tc>
              <w:tc>
                <w:tcPr>
                  <w:tcW w:type="dxa" w:w="7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5001页以上</w:t>
                  </w:r>
                </w:p>
              </w:tc>
              <w:tc>
                <w:tcPr>
                  <w:tcW w:type="dxa" w:w="2448"/>
                  <w:vMerge/>
                  <w:tcBorders>
                    <w:top w:val="none" w:color="000000" w:sz="4"/>
                    <w:left w:val="none" w:color="000000" w:sz="4"/>
                    <w:bottom w:val="single" w:color="000000" w:sz="4"/>
                    <w:right w:val="single" w:color="000000" w:sz="4"/>
                  </w:tcBorders>
                </w:tcPr>
                <w:p/>
              </w:tc>
              <w:tc>
                <w:tcPr>
                  <w:tcW w:type="dxa" w:w="4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3</w:t>
                  </w:r>
                </w:p>
              </w:tc>
              <w:tc>
                <w:tcPr>
                  <w:tcW w:type="dxa" w:w="5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1400</w:t>
                  </w:r>
                </w:p>
              </w:tc>
              <w:tc>
                <w:tcPr>
                  <w:tcW w:type="dxa" w:w="4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4200</w:t>
                  </w:r>
                </w:p>
              </w:tc>
            </w:tr>
            <w:tr>
              <w:tc>
                <w:tcPr>
                  <w:tcW w:type="dxa" w:w="3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6</w:t>
                  </w:r>
                </w:p>
              </w:tc>
              <w:tc>
                <w:tcPr>
                  <w:tcW w:type="dxa" w:w="1397"/>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未扫描新增册</w:t>
                  </w:r>
                </w:p>
              </w:tc>
              <w:tc>
                <w:tcPr>
                  <w:tcW w:type="dxa" w:w="24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2"/>
                      <w:color w:val="000000"/>
                    </w:rPr>
                    <w:t>案件分类、拆分、扫描、图像处理、著录信息、质检、装订还原、挂接、案卷交接、入库上架工作。</w:t>
                  </w:r>
                </w:p>
              </w:tc>
              <w:tc>
                <w:tcPr>
                  <w:tcW w:type="dxa" w:w="4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10</w:t>
                  </w:r>
                </w:p>
              </w:tc>
              <w:tc>
                <w:tcPr>
                  <w:tcW w:type="dxa" w:w="5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3</w:t>
                  </w:r>
                </w:p>
              </w:tc>
              <w:tc>
                <w:tcPr>
                  <w:tcW w:type="dxa" w:w="4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30</w:t>
                  </w:r>
                </w:p>
              </w:tc>
            </w:tr>
            <w:tr>
              <w:tc>
                <w:tcPr>
                  <w:tcW w:type="dxa" w:w="3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7</w:t>
                  </w:r>
                </w:p>
              </w:tc>
              <w:tc>
                <w:tcPr>
                  <w:tcW w:type="dxa" w:w="1397"/>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已扫描新增册</w:t>
                  </w:r>
                </w:p>
              </w:tc>
              <w:tc>
                <w:tcPr>
                  <w:tcW w:type="dxa" w:w="24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2"/>
                      <w:color w:val="000000"/>
                    </w:rPr>
                    <w:t>案件分类、拆分、扫描、图像处理、著录信息、质检、装订还原、数据导出、数据匹配、数据挂接、案卷交接、入库上架工作。</w:t>
                  </w:r>
                </w:p>
              </w:tc>
              <w:tc>
                <w:tcPr>
                  <w:tcW w:type="dxa" w:w="4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5006</w:t>
                  </w:r>
                </w:p>
              </w:tc>
              <w:tc>
                <w:tcPr>
                  <w:tcW w:type="dxa" w:w="5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14</w:t>
                  </w:r>
                </w:p>
              </w:tc>
              <w:tc>
                <w:tcPr>
                  <w:tcW w:type="dxa" w:w="4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70084</w:t>
                  </w:r>
                </w:p>
              </w:tc>
            </w:tr>
            <w:tr>
              <w:tc>
                <w:tcPr>
                  <w:tcW w:type="dxa" w:w="3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8</w:t>
                  </w:r>
                </w:p>
              </w:tc>
              <w:tc>
                <w:tcPr>
                  <w:tcW w:type="dxa" w:w="1397"/>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诉前调解案件</w:t>
                  </w:r>
                </w:p>
              </w:tc>
              <w:tc>
                <w:tcPr>
                  <w:tcW w:type="dxa" w:w="24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2"/>
                      <w:color w:val="000000"/>
                    </w:rPr>
                    <w:t>打码、分目录、著录、质检、打封面、打盒子、装订。</w:t>
                  </w:r>
                </w:p>
              </w:tc>
              <w:tc>
                <w:tcPr>
                  <w:tcW w:type="dxa" w:w="4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32</w:t>
                  </w:r>
                </w:p>
              </w:tc>
              <w:tc>
                <w:tcPr>
                  <w:tcW w:type="dxa" w:w="5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8</w:t>
                  </w:r>
                </w:p>
              </w:tc>
              <w:tc>
                <w:tcPr>
                  <w:tcW w:type="dxa" w:w="4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256</w:t>
                  </w:r>
                </w:p>
              </w:tc>
            </w:tr>
            <w:tr>
              <w:tc>
                <w:tcPr>
                  <w:tcW w:type="dxa" w:w="4151"/>
                  <w:gridSpan w:val="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合计</w:t>
                  </w:r>
                </w:p>
              </w:tc>
              <w:tc>
                <w:tcPr>
                  <w:tcW w:type="dxa" w:w="1448"/>
                  <w:gridSpan w:val="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2000000元</w:t>
                  </w:r>
                </w:p>
              </w:tc>
            </w:tr>
          </w:tbl>
          <w:p>
            <w:pPr>
              <w:pStyle w:val="null3"/>
              <w:jc w:val="both"/>
            </w:pPr>
            <w:r>
              <w:rPr>
                <w:sz w:val="28"/>
                <w:b/>
              </w:rPr>
              <w:t>四、数字化加工流程</w:t>
            </w:r>
          </w:p>
          <w:p>
            <w:pPr>
              <w:pStyle w:val="null3"/>
              <w:jc w:val="left"/>
            </w:pPr>
            <w:r>
              <w:rPr>
                <w:sz w:val="22"/>
              </w:rPr>
              <w:t>数字化加工的主要工作环节包括：档案借调、目录核校、修改或拟写页号编码、扫描前处理（包括编写页号、档案装订物拆除、注明重份文件、档案保护性处理）、档案扫描、图像处理、图像质检、退卷归库、数据挂接、数据验收、数据备份（硬盘备份）等工作，并确保档案载体的齐全完整、档案实体及其信息内容的安全</w:t>
            </w:r>
            <w:r>
              <w:rPr>
                <w:sz w:val="22"/>
              </w:rPr>
              <w:t>保密</w:t>
            </w:r>
            <w:r>
              <w:rPr>
                <w:sz w:val="22"/>
              </w:rPr>
              <w:t>。</w:t>
            </w:r>
          </w:p>
          <w:p>
            <w:pPr>
              <w:pStyle w:val="null3"/>
              <w:jc w:val="left"/>
            </w:pPr>
            <w:r>
              <w:rPr>
                <w:sz w:val="22"/>
              </w:rPr>
              <w:t>档案数字化加工流程图如下所示：</w:t>
            </w:r>
          </w:p>
          <w:p>
            <w:pPr>
              <w:pStyle w:val="null3"/>
              <w:jc w:val="both"/>
            </w:pPr>
            <w:r>
              <w:drawing>
                <wp:inline distT="0" distR="0" distB="0" distL="0">
                  <wp:extent cx="3554730" cy="3218107"/>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5"/>
                          <a:stretch>
                            <a:fillRect/>
                          </a:stretch>
                        </pic:blipFill>
                        <pic:spPr>
                          <a:xfrm>
                            <a:off x="0" y="0"/>
                            <a:ext cx="3554730" cy="3218107"/>
                          </a:xfrm>
                          <a:prstGeom prst="rect">
                            <a:avLst/>
                          </a:prstGeom>
                        </pic:spPr>
                      </pic:pic>
                    </a:graphicData>
                  </a:graphic>
                </wp:inline>
              </w:drawing>
            </w:r>
          </w:p>
          <w:p>
            <w:pPr>
              <w:pStyle w:val="null3"/>
              <w:jc w:val="left"/>
            </w:pPr>
            <w:r>
              <w:rPr>
                <w:sz w:val="22"/>
              </w:rPr>
              <w:t>各工作环节具体要求如下：</w:t>
            </w:r>
          </w:p>
          <w:p>
            <w:pPr>
              <w:pStyle w:val="null3"/>
              <w:jc w:val="left"/>
            </w:pPr>
            <w:r>
              <w:rPr>
                <w:sz w:val="22"/>
              </w:rPr>
              <w:t>1、总则：严格管理，明确责任，建立安全</w:t>
            </w:r>
            <w:r>
              <w:rPr>
                <w:sz w:val="22"/>
              </w:rPr>
              <w:t>保密</w:t>
            </w:r>
            <w:r>
              <w:rPr>
                <w:sz w:val="22"/>
              </w:rPr>
              <w:t>管理机制和质量管理机制，确保安全管理制度和质量管理制度落实，确保档案原件和数字化档案在运输及加工过程中的信息安全，确保各环节工作符合质量要求，建立完整规范的工作记录。</w:t>
            </w:r>
          </w:p>
          <w:p>
            <w:pPr>
              <w:pStyle w:val="null3"/>
              <w:jc w:val="left"/>
            </w:pPr>
            <w:r>
              <w:rPr>
                <w:sz w:val="22"/>
              </w:rPr>
              <w:t>2、档案移送至加工现场：采购人的工作人员持保存的《归档清单》与中标人加工场地负责人一同清点，清点无误，由采购人的工作人员在《归档清单》上签名确认，1份由案件承办部门保存，1份由中标人保存，档案室保存《归档清单》电子表格。</w:t>
            </w:r>
          </w:p>
          <w:p>
            <w:pPr>
              <w:pStyle w:val="null3"/>
              <w:jc w:val="left"/>
            </w:pPr>
            <w:r>
              <w:rPr>
                <w:sz w:val="22"/>
              </w:rPr>
              <w:t>3、中标人安排人员进行初验、打码、编目等：中标人按照采购人的归档要求和立卷规范核对案件材料，如漏签名、材料顺序错误等，质检不合格的退档案室，由档案室通知相关人员修改，修改完成后移交中标人，中标人对质检合格的诉讼材料打页码，编写目录、打印封面。</w:t>
            </w:r>
          </w:p>
          <w:p>
            <w:pPr>
              <w:pStyle w:val="null3"/>
              <w:jc w:val="left"/>
            </w:pPr>
            <w:r>
              <w:rPr>
                <w:sz w:val="22"/>
              </w:rPr>
              <w:t>4、档案扫描：纸质诉讼档案的数字化加工采用全彩色模式进行扫描，未经采购人同意不得以黑白二值方式扫描。扫描影像保持原档方向。在扫描过程中，应遵循以下几项标准：</w:t>
            </w:r>
          </w:p>
          <w:p>
            <w:pPr>
              <w:pStyle w:val="null3"/>
              <w:jc w:val="left"/>
            </w:pPr>
            <w:r>
              <w:rPr>
                <w:sz w:val="22"/>
              </w:rPr>
              <w:t>标准分辨率：一般情况下</w:t>
            </w:r>
            <w:r>
              <w:rPr>
                <w:sz w:val="22"/>
              </w:rPr>
              <w:t>300dpi,但也视特殊情况调整分辨率（例如：历史档案照片等分辨率调整为600dpi）。</w:t>
            </w:r>
          </w:p>
          <w:p>
            <w:pPr>
              <w:pStyle w:val="null3"/>
              <w:jc w:val="left"/>
            </w:pPr>
            <w:r>
              <w:rPr>
                <w:sz w:val="22"/>
              </w:rPr>
              <w:t>存储及压缩方式：存储格式为</w:t>
            </w:r>
            <w:r>
              <w:rPr>
                <w:sz w:val="22"/>
              </w:rPr>
              <w:t>JPEG（采用中度压缩），如非采购人要求，不能更改为其它格式。</w:t>
            </w:r>
          </w:p>
          <w:p>
            <w:pPr>
              <w:pStyle w:val="null3"/>
              <w:jc w:val="left"/>
            </w:pPr>
            <w:r>
              <w:rPr>
                <w:sz w:val="22"/>
              </w:rPr>
              <w:t>质量：在原件上没有明显质量问题时，所产生的影像文件不应产生黑边、模糊、偏斜等质量问题，对于影响图像质量的非原始性的黑线等要进行修补。</w:t>
            </w:r>
          </w:p>
          <w:p>
            <w:pPr>
              <w:pStyle w:val="null3"/>
              <w:jc w:val="left"/>
            </w:pPr>
            <w:r>
              <w:rPr>
                <w:sz w:val="22"/>
              </w:rPr>
              <w:t>扫描仪基本要求：高速扫描仪须为较新型号的全新设备，扫描部件采用三色增强的</w:t>
            </w:r>
            <w:r>
              <w:rPr>
                <w:sz w:val="22"/>
              </w:rPr>
              <w:t>CCD，光学分辨率不低于600dpi。</w:t>
            </w:r>
          </w:p>
          <w:p>
            <w:pPr>
              <w:pStyle w:val="null3"/>
              <w:jc w:val="left"/>
            </w:pPr>
            <w:r>
              <w:rPr>
                <w:sz w:val="22"/>
              </w:rPr>
              <w:t>根据档案幅面的大小和纸张状况，选择相应扫描仪。其中大幅面档案需采用大幅面扫描仪，不可以采用小幅面扫描后的图像拼接方式处理；同页有两个以上文件，需分别扫描，并进行并页处理。</w:t>
            </w:r>
          </w:p>
          <w:p>
            <w:pPr>
              <w:pStyle w:val="null3"/>
              <w:jc w:val="left"/>
            </w:pPr>
            <w:r>
              <w:rPr>
                <w:sz w:val="22"/>
              </w:rPr>
              <w:t>扫描过程中，应有《档案数字化项目流程工作单》跟踪纸质档案流程。</w:t>
            </w:r>
          </w:p>
          <w:p>
            <w:pPr>
              <w:pStyle w:val="null3"/>
              <w:jc w:val="left"/>
            </w:pPr>
            <w:r>
              <w:rPr>
                <w:sz w:val="22"/>
              </w:rPr>
              <w:t>5、图像处理：应对扫描后的图像进行逐页纠偏、去污、图像拼接、裁边处理和排列顺序调整。对如下档案扫描后要特殊处理：</w:t>
            </w:r>
          </w:p>
          <w:p>
            <w:pPr>
              <w:pStyle w:val="null3"/>
              <w:jc w:val="left"/>
            </w:pPr>
            <w:r>
              <w:rPr>
                <w:sz w:val="22"/>
              </w:rPr>
              <w:t>（</w:t>
            </w:r>
            <w:r>
              <w:rPr>
                <w:sz w:val="22"/>
              </w:rPr>
              <w:t>1）各种结论和审批性材料（收件收据，存根，审批表等），各种文件中印章信息，如日期、单位印章、合同文件中的各类印章等；</w:t>
            </w:r>
          </w:p>
          <w:p>
            <w:pPr>
              <w:pStyle w:val="null3"/>
              <w:jc w:val="left"/>
            </w:pPr>
            <w:r>
              <w:rPr>
                <w:sz w:val="22"/>
              </w:rPr>
              <w:t>（</w:t>
            </w:r>
            <w:r>
              <w:rPr>
                <w:sz w:val="22"/>
              </w:rPr>
              <w:t>2）身份证等各类复印件；</w:t>
            </w:r>
          </w:p>
          <w:p>
            <w:pPr>
              <w:pStyle w:val="null3"/>
              <w:jc w:val="left"/>
            </w:pPr>
            <w:r>
              <w:rPr>
                <w:sz w:val="22"/>
              </w:rPr>
              <w:t>（</w:t>
            </w:r>
            <w:r>
              <w:rPr>
                <w:sz w:val="22"/>
              </w:rPr>
              <w:t>3）各种手写、复写的信息，如收据、发票、复写或手写的明细表；</w:t>
            </w:r>
          </w:p>
          <w:p>
            <w:pPr>
              <w:pStyle w:val="null3"/>
              <w:jc w:val="left"/>
            </w:pPr>
            <w:r>
              <w:rPr>
                <w:sz w:val="22"/>
              </w:rPr>
              <w:t>（</w:t>
            </w:r>
            <w:r>
              <w:rPr>
                <w:sz w:val="22"/>
              </w:rPr>
              <w:t>4）字体小且字迹较模糊的蓝图原件或图纸复印件；</w:t>
            </w:r>
          </w:p>
          <w:p>
            <w:pPr>
              <w:pStyle w:val="null3"/>
              <w:jc w:val="left"/>
            </w:pPr>
            <w:r>
              <w:rPr>
                <w:sz w:val="22"/>
              </w:rPr>
              <w:t>（</w:t>
            </w:r>
            <w:r>
              <w:rPr>
                <w:sz w:val="22"/>
              </w:rPr>
              <w:t>5）其它因纸张、字迹等因素不清晰的文件等。</w:t>
            </w:r>
          </w:p>
          <w:p>
            <w:pPr>
              <w:pStyle w:val="null3"/>
              <w:jc w:val="left"/>
            </w:pPr>
            <w:r>
              <w:rPr>
                <w:sz w:val="22"/>
              </w:rPr>
              <w:t>6、文件存储：中标人入场后根据采购人标准自行修改数字化加工系统，根据采购人要求对扫描件进行存储，扫描后的电子文件需要提交硬盘存储，并且直接导入综合档案信息管理系统，能够实时将经过检验的数据投入实际应用。扫描后的电子文件需要存储至移动硬盘一式二份（jpg一份，pdf一份）交付</w:t>
            </w:r>
            <w:r>
              <w:rPr>
                <w:sz w:val="22"/>
              </w:rPr>
              <w:t>采购人</w:t>
            </w:r>
            <w:r>
              <w:rPr>
                <w:sz w:val="22"/>
              </w:rPr>
              <w:t>。</w:t>
            </w:r>
          </w:p>
          <w:p>
            <w:pPr>
              <w:pStyle w:val="null3"/>
              <w:jc w:val="left"/>
            </w:pPr>
            <w:r>
              <w:rPr>
                <w:sz w:val="22"/>
              </w:rPr>
              <w:t>7、编目著录：诉讼档案须根据最高人民法院制订的《人民法院计算机信息网络系统建设技术规范》要求将约200个字段数据录入到电子档案管理系统中。</w:t>
            </w:r>
          </w:p>
          <w:p>
            <w:pPr>
              <w:pStyle w:val="null3"/>
              <w:jc w:val="left"/>
            </w:pPr>
            <w:r>
              <w:rPr>
                <w:sz w:val="22"/>
              </w:rPr>
              <w:t>8、数据挂接：以纸质档案目录数据库为依据，将每一份纸质档案文件扫描所得的一个或多个图像存储为一份图像文件。将图像文件存储到相应文件夹时，要认真核查每一份图像文件的名称与档案目录数据库中该份文件的案号是否相同，图像文件的页数与档案目录数据库中该份文件的页数是否一致，图像文件的总数与目录数据库中文件的总数是否相同等。通过每一份图像文件的文件名与档案目录数据库中该份文件的案号的一致性和唯一性，建立起一一对应的关联关系，为实现档案目录数据库与图像文件的批量挂接提供条件。</w:t>
            </w:r>
          </w:p>
          <w:p>
            <w:pPr>
              <w:pStyle w:val="null3"/>
              <w:jc w:val="left"/>
            </w:pPr>
            <w:r>
              <w:rPr>
                <w:sz w:val="22"/>
              </w:rPr>
              <w:t>9、质量自检：中标人应建立严格的质量检测体系。数据挂接前，应对完成加工的纸质档案和相应电子数据进行全部质检；数据挂接后，应全面检查是否挂接成功和检查是否与纸质版的相同，移交给采购人按照不低于20%的比例抽检挂接的电子数据。质检需形成书面报告，质检通过后应制作《质量验收单》列明移交采购人验收案件的批次、数量等案件信息及质检情况，交付采购人验收。</w:t>
            </w:r>
          </w:p>
          <w:p>
            <w:pPr>
              <w:pStyle w:val="null3"/>
              <w:jc w:val="left"/>
            </w:pPr>
            <w:r>
              <w:rPr>
                <w:sz w:val="22"/>
              </w:rPr>
              <w:t>10、装订成册：按采购人的要求将扫描完毕的纸质档案装订成册（负责卷宗的打印页码，按已排好的顺序装订成册，盖上扫描章）。扫描完成后，应按照法院档案装订规范进行装订，装订前要对诉讼档案进行全面检查，打孔装订。并保持档案页面排列顺序不变，案卷不掉页，保持卷宗右边和底边整齐。</w:t>
            </w:r>
          </w:p>
          <w:p>
            <w:pPr>
              <w:pStyle w:val="null3"/>
              <w:jc w:val="left"/>
            </w:pPr>
            <w:r>
              <w:rPr>
                <w:sz w:val="22"/>
              </w:rPr>
              <w:t>11、档案盒打印装盒：按采购人要求打印档案盒，并进行档案装盒。</w:t>
            </w:r>
          </w:p>
          <w:p>
            <w:pPr>
              <w:pStyle w:val="null3"/>
              <w:jc w:val="left"/>
            </w:pPr>
            <w:r>
              <w:rPr>
                <w:sz w:val="22"/>
              </w:rPr>
              <w:t>12、打印和贴条形码：打印粘贴每册案卷和档案盒的二维码，保证二维码粘贴无误。电子档案查询系统支持条码设备。</w:t>
            </w:r>
          </w:p>
          <w:p>
            <w:pPr>
              <w:pStyle w:val="null3"/>
              <w:jc w:val="left"/>
            </w:pPr>
            <w:r>
              <w:rPr>
                <w:sz w:val="22"/>
              </w:rPr>
              <w:t>13、移交验收：将扫描数据、质检报告、还原的实体档案及《质量验收单》交采购人进行验收。</w:t>
            </w:r>
          </w:p>
          <w:p>
            <w:pPr>
              <w:pStyle w:val="null3"/>
              <w:jc w:val="left"/>
            </w:pPr>
            <w:r>
              <w:rPr>
                <w:sz w:val="22"/>
              </w:rPr>
              <w:t>验收发现问题的，按约定罚则进行扣罚；同批档案验收问题率超过</w:t>
            </w:r>
            <w:r>
              <w:rPr>
                <w:sz w:val="22"/>
              </w:rPr>
              <w:t>5%的，退回中标人重新处理并按约定罚则扣罚。</w:t>
            </w:r>
          </w:p>
          <w:p>
            <w:pPr>
              <w:pStyle w:val="null3"/>
              <w:jc w:val="left"/>
            </w:pPr>
            <w:r>
              <w:rPr>
                <w:sz w:val="22"/>
              </w:rPr>
              <w:t>14、</w:t>
            </w:r>
            <w:r>
              <w:rPr>
                <w:sz w:val="22"/>
              </w:rPr>
              <w:t>档案入库上架：通过采购人验收的档案，才可入库上架。保证卷宗资料完好无损，将处理完成的卷宗搬运至库房入库上架，与采购人工作人员做好交接登记。上架应按采购人工作人员要求及库房排序要求，按档案年份、类型、案号作有序排放。发现案件排放错误的，按约定罚则进行扣罚。</w:t>
            </w:r>
          </w:p>
          <w:p>
            <w:pPr>
              <w:pStyle w:val="null3"/>
              <w:ind w:left="555"/>
              <w:jc w:val="left"/>
            </w:pPr>
            <w:r>
              <w:rPr>
                <w:sz w:val="28"/>
                <w:b/>
              </w:rPr>
              <w:t>五、</w:t>
            </w:r>
            <w:r>
              <w:rPr>
                <w:sz w:val="28"/>
                <w:b/>
              </w:rPr>
              <w:t>服务要求</w:t>
            </w:r>
          </w:p>
          <w:p>
            <w:pPr>
              <w:pStyle w:val="null3"/>
              <w:jc w:val="left"/>
            </w:pPr>
            <w:r>
              <w:rPr>
                <w:sz w:val="22"/>
              </w:rPr>
              <w:t>1、</w:t>
            </w:r>
            <w:r>
              <w:rPr>
                <w:sz w:val="22"/>
              </w:rPr>
              <w:t>项目管理组织架构和职责：</w:t>
            </w:r>
          </w:p>
          <w:p>
            <w:pPr>
              <w:pStyle w:val="null3"/>
              <w:jc w:val="left"/>
            </w:pPr>
            <w:r>
              <w:rPr>
                <w:sz w:val="22"/>
              </w:rPr>
              <w:t>(1)</w:t>
            </w:r>
            <w:r>
              <w:rPr>
                <w:sz w:val="22"/>
              </w:rPr>
              <w:t>项目经理：负责调配项目组成员工作，任务的分配和指导，总体及各阶段进度的控制，对项目组内部的技术分歧有权给出定论，并承担由此而产生的责任。制定项目计划，核查、监督项目计划的执行情况，进行项目的质量和风险管理。</w:t>
            </w:r>
          </w:p>
          <w:p>
            <w:pPr>
              <w:pStyle w:val="null3"/>
              <w:jc w:val="left"/>
            </w:pPr>
            <w:r>
              <w:rPr>
                <w:sz w:val="22"/>
              </w:rPr>
              <w:t>(2)</w:t>
            </w:r>
            <w:r>
              <w:rPr>
                <w:sz w:val="22"/>
              </w:rPr>
              <w:t>项目管理人员：协助项目经理调配项目组成员工作，任务的分配和指导，监督项目执行情况等。</w:t>
            </w:r>
          </w:p>
          <w:p>
            <w:pPr>
              <w:pStyle w:val="null3"/>
              <w:jc w:val="left"/>
            </w:pPr>
            <w:r>
              <w:rPr>
                <w:sz w:val="22"/>
              </w:rPr>
              <w:t>(3)</w:t>
            </w:r>
            <w:r>
              <w:rPr>
                <w:sz w:val="22"/>
              </w:rPr>
              <w:t>数据管理员：处理项目组数据收集、合并、硬盘管理、数据移交等工作。</w:t>
            </w:r>
          </w:p>
          <w:p>
            <w:pPr>
              <w:pStyle w:val="null3"/>
              <w:jc w:val="left"/>
            </w:pPr>
            <w:r>
              <w:rPr>
                <w:sz w:val="22"/>
              </w:rPr>
              <w:t>(4)</w:t>
            </w:r>
            <w:r>
              <w:rPr>
                <w:sz w:val="22"/>
              </w:rPr>
              <w:t>档案管理员：根据项目经理的生产调度，负责加工档案的提调申请与还库申请；负责档案实体的交接、清点、核验等工作，负责项目中档案周转库房的档案交接与发放，做好档案交接与周转过程中的记录；做好特殊档案（如：裱糊档案）的登记与分发。</w:t>
            </w:r>
          </w:p>
          <w:p>
            <w:pPr>
              <w:pStyle w:val="null3"/>
              <w:jc w:val="left"/>
            </w:pPr>
            <w:r>
              <w:rPr>
                <w:sz w:val="22"/>
              </w:rPr>
              <w:t>(5)</w:t>
            </w:r>
            <w:r>
              <w:rPr>
                <w:sz w:val="22"/>
              </w:rPr>
              <w:t>安全员：每月不少于四次根据加工人员行为规范和项目安全</w:t>
            </w:r>
            <w:r>
              <w:rPr>
                <w:sz w:val="22"/>
              </w:rPr>
              <w:t>保密</w:t>
            </w:r>
            <w:r>
              <w:rPr>
                <w:sz w:val="22"/>
              </w:rPr>
              <w:t>管理制度进行安全监督检查，负责下班前加工现场档案安全及加工场地的门、窗、电气等项安全检查工作，及时做好安全检查记录，向项目经理反馈安全检查中的问题，提醒加工人员遵守行为规范和项目安全</w:t>
            </w:r>
            <w:r>
              <w:rPr>
                <w:sz w:val="22"/>
              </w:rPr>
              <w:t>保密</w:t>
            </w:r>
            <w:r>
              <w:rPr>
                <w:sz w:val="22"/>
              </w:rPr>
              <w:t>管理制度。</w:t>
            </w:r>
          </w:p>
          <w:p>
            <w:pPr>
              <w:pStyle w:val="null3"/>
              <w:jc w:val="left"/>
            </w:pPr>
            <w:r>
              <w:rPr>
                <w:sz w:val="22"/>
              </w:rPr>
              <w:t>(6)</w:t>
            </w:r>
            <w:r>
              <w:rPr>
                <w:sz w:val="22"/>
              </w:rPr>
              <w:t>档案整理组：负责目录数据的校核、建库；负责档案实体的交接，以及之后的拆封、整理工作。</w:t>
            </w:r>
          </w:p>
          <w:p>
            <w:pPr>
              <w:pStyle w:val="null3"/>
              <w:jc w:val="left"/>
            </w:pPr>
            <w:r>
              <w:rPr>
                <w:sz w:val="22"/>
              </w:rPr>
              <w:t>(7)</w:t>
            </w:r>
            <w:r>
              <w:rPr>
                <w:sz w:val="22"/>
              </w:rPr>
              <w:t>档案上架组：负责搬运档案以及将案件按顺序插入库房柜。</w:t>
            </w:r>
          </w:p>
          <w:p>
            <w:pPr>
              <w:pStyle w:val="null3"/>
              <w:jc w:val="left"/>
            </w:pPr>
            <w:r>
              <w:rPr>
                <w:sz w:val="22"/>
              </w:rPr>
              <w:t>(8)</w:t>
            </w:r>
            <w:r>
              <w:rPr>
                <w:sz w:val="22"/>
              </w:rPr>
              <w:t>档案前处理组：负责档案扫描前处理工作，为扫描岗位提供便利。</w:t>
            </w:r>
          </w:p>
          <w:p>
            <w:pPr>
              <w:pStyle w:val="null3"/>
              <w:jc w:val="left"/>
            </w:pPr>
            <w:r>
              <w:rPr>
                <w:sz w:val="22"/>
              </w:rPr>
              <w:t>(9)</w:t>
            </w:r>
            <w:r>
              <w:rPr>
                <w:sz w:val="22"/>
              </w:rPr>
              <w:t>档案扫描组：负责档案扫描工作，负责扫描时候的监控，包括漏扫、多扫等的检查及图像质量的监控。</w:t>
            </w:r>
          </w:p>
          <w:p>
            <w:pPr>
              <w:pStyle w:val="null3"/>
              <w:jc w:val="left"/>
            </w:pPr>
            <w:r>
              <w:rPr>
                <w:sz w:val="22"/>
              </w:rPr>
              <w:t>(10)</w:t>
            </w:r>
            <w:r>
              <w:rPr>
                <w:sz w:val="22"/>
              </w:rPr>
              <w:t>图像处理组：负责图像处理，包括去黑边、黑线、黑点、摆正等图像优化工作。并且对图像扫描不合格的图像返回给扫描人员重扫。</w:t>
            </w:r>
          </w:p>
          <w:p>
            <w:pPr>
              <w:pStyle w:val="null3"/>
              <w:jc w:val="left"/>
            </w:pPr>
            <w:r>
              <w:rPr>
                <w:sz w:val="22"/>
              </w:rPr>
              <w:t>(11)</w:t>
            </w:r>
            <w:r>
              <w:rPr>
                <w:sz w:val="22"/>
              </w:rPr>
              <w:t>著录质检组：负责项目组数据移交质检之前的最终质检工作，保证项目组提交的数据完整、规范、符合合同约定；并协助项目经理对项目组成员做加工标准的培训工作。</w:t>
            </w:r>
          </w:p>
          <w:p>
            <w:pPr>
              <w:pStyle w:val="null3"/>
              <w:jc w:val="left"/>
            </w:pPr>
            <w:r>
              <w:rPr>
                <w:sz w:val="22"/>
              </w:rPr>
              <w:t>(12)</w:t>
            </w:r>
            <w:r>
              <w:rPr>
                <w:sz w:val="22"/>
              </w:rPr>
              <w:t>装订组：负责对加工完成的档案的装订工作，并且对实体案件不合格的案件返回给拆分人员重做。</w:t>
            </w:r>
          </w:p>
          <w:p>
            <w:pPr>
              <w:pStyle w:val="null3"/>
              <w:jc w:val="left"/>
            </w:pPr>
            <w:r>
              <w:rPr>
                <w:sz w:val="22"/>
              </w:rPr>
              <w:t>(13)</w:t>
            </w:r>
            <w:r>
              <w:rPr>
                <w:sz w:val="22"/>
              </w:rPr>
              <w:t>实体质检组：负责实体案件的质量检查，并且对实体案件不合格的案件返回给装订人员或者拆分人员重做。</w:t>
            </w:r>
          </w:p>
          <w:p>
            <w:pPr>
              <w:pStyle w:val="null3"/>
              <w:jc w:val="left"/>
            </w:pPr>
            <w:r>
              <w:rPr>
                <w:sz w:val="22"/>
              </w:rPr>
              <w:t>2、上班时间：每天8小时制，每周不少于5天；逢</w:t>
            </w:r>
            <w:r>
              <w:rPr>
                <w:sz w:val="22"/>
              </w:rPr>
              <w:t>采购人</w:t>
            </w:r>
            <w:r>
              <w:rPr>
                <w:sz w:val="22"/>
              </w:rPr>
              <w:t>安排集体加班或其他特殊情形，中标人需要安排人手进行配合。</w:t>
            </w:r>
          </w:p>
          <w:p>
            <w:pPr>
              <w:pStyle w:val="null3"/>
              <w:jc w:val="left"/>
            </w:pPr>
            <w:r>
              <w:rPr>
                <w:sz w:val="22"/>
              </w:rPr>
              <w:t>3、人员要求：不少于16人到采购人指定的工作场所工作，其中项目管理人员不少于2人。中标人须保证员工每月薪酬准时发放。中标人的初验人员须具有法学类本科或以上学历。中标人人员入职前，相关的身份信息、</w:t>
            </w:r>
            <w:r>
              <w:rPr>
                <w:sz w:val="22"/>
              </w:rPr>
              <w:t>无.</w:t>
            </w:r>
            <w:r>
              <w:rPr>
                <w:sz w:val="22"/>
              </w:rPr>
              <w:t>犯罪记录证明</w:t>
            </w:r>
            <w:r>
              <w:rPr>
                <w:sz w:val="22"/>
              </w:rPr>
              <w:t>、个人家庭情况登记表、</w:t>
            </w:r>
            <w:r>
              <w:rPr>
                <w:sz w:val="22"/>
              </w:rPr>
              <w:t>保密</w:t>
            </w:r>
            <w:r>
              <w:rPr>
                <w:sz w:val="22"/>
              </w:rPr>
              <w:t>协议、培训成绩等材料应提交采购人审核备案。</w:t>
            </w:r>
          </w:p>
          <w:p>
            <w:pPr>
              <w:pStyle w:val="null3"/>
              <w:jc w:val="left"/>
            </w:pPr>
            <w:r>
              <w:rPr>
                <w:sz w:val="22"/>
              </w:rPr>
              <w:t>人员离岗的，中标人必须提前一个月向采购人报告并提交替换人员的身份证复印件、简历培训成绩等资料，经采购人审核同意后方可换岗。</w:t>
            </w:r>
          </w:p>
          <w:p>
            <w:pPr>
              <w:pStyle w:val="null3"/>
              <w:jc w:val="left"/>
            </w:pPr>
            <w:r>
              <w:rPr>
                <w:sz w:val="22"/>
              </w:rPr>
              <w:t>人员调岗、借调等人员变动事宜，中标人必须提前一周向采购人报告并征得同意后方能进行调整。</w:t>
            </w:r>
          </w:p>
          <w:p>
            <w:pPr>
              <w:pStyle w:val="null3"/>
              <w:jc w:val="left"/>
            </w:pPr>
            <w:r>
              <w:rPr>
                <w:sz w:val="22"/>
              </w:rPr>
              <w:t>人员离职，中标人必须要求员工严格填写《离职申请书与</w:t>
            </w:r>
            <w:r>
              <w:rPr>
                <w:sz w:val="22"/>
              </w:rPr>
              <w:t>保密</w:t>
            </w:r>
            <w:r>
              <w:rPr>
                <w:sz w:val="22"/>
              </w:rPr>
              <w:t>承诺书》，并在离职前移交相关工作物品及工作证。</w:t>
            </w:r>
          </w:p>
          <w:p>
            <w:pPr>
              <w:pStyle w:val="null3"/>
              <w:jc w:val="left"/>
            </w:pPr>
            <w:r>
              <w:rPr>
                <w:sz w:val="22"/>
              </w:rPr>
              <w:t>管理岗位的换岗必须完成管理材料、账册的移交，制作《管理岗位换岗报告》报采购人同意并撤销管理人员相关权限后方可换岗。</w:t>
            </w:r>
          </w:p>
          <w:p>
            <w:pPr>
              <w:pStyle w:val="null3"/>
              <w:jc w:val="left"/>
            </w:pPr>
            <w:r>
              <w:rPr>
                <w:sz w:val="22"/>
              </w:rPr>
              <w:t>采购人有权以书面形式要求中标人更换不能按规定履行合同的人员。即使是采购人要求或统一更换的人员，其代替人员的资质仍应得到采购人的认可，且其资历和经验均不低于被更换人员。由此产生的费用由中标人承担。如中标人未经采购人书面同意擅自更换项目组人员，采购人有权扣除中标人一定的违约金。发生本条上述情况累计</w:t>
            </w:r>
            <w:r>
              <w:rPr>
                <w:sz w:val="22"/>
              </w:rPr>
              <w:t>4次后，采购人有权终止合同，由此引致的经济损失，中标人须全额赔偿，采购人保留追究中标人相关责任的权利。</w:t>
            </w:r>
          </w:p>
          <w:p>
            <w:pPr>
              <w:pStyle w:val="null3"/>
              <w:jc w:val="left"/>
            </w:pPr>
            <w:r>
              <w:rPr>
                <w:sz w:val="22"/>
              </w:rPr>
              <w:t>中标人对其雇员的人身安全负全部责任。</w:t>
            </w:r>
          </w:p>
          <w:p>
            <w:pPr>
              <w:pStyle w:val="null3"/>
              <w:jc w:val="left"/>
            </w:pPr>
            <w:r>
              <w:rPr>
                <w:sz w:val="22"/>
              </w:rPr>
              <w:t>4、内部管理：中标人要针对</w:t>
            </w:r>
            <w:r>
              <w:rPr>
                <w:sz w:val="22"/>
              </w:rPr>
              <w:t>采购人</w:t>
            </w:r>
            <w:r>
              <w:rPr>
                <w:sz w:val="22"/>
              </w:rPr>
              <w:t>项目实际情况，制定相应的内部管理制度，提交采购人进行检查和监督。内部管理制度包括但不限于：项目流程、案件流转交接、工作纪律和考勤、人员岗位职责（含管理岗位分工）、人员绩效考核、人员离职、信息网络安全管理、数据安全管理、信息</w:t>
            </w:r>
            <w:r>
              <w:rPr>
                <w:sz w:val="22"/>
              </w:rPr>
              <w:t>保密</w:t>
            </w:r>
            <w:r>
              <w:rPr>
                <w:sz w:val="22"/>
              </w:rPr>
              <w:t>、应急预案、耗材管理等有利于项目开展的规章制度。</w:t>
            </w:r>
          </w:p>
          <w:p>
            <w:pPr>
              <w:pStyle w:val="null3"/>
              <w:jc w:val="left"/>
            </w:pPr>
            <w:r>
              <w:rPr>
                <w:sz w:val="22"/>
              </w:rPr>
              <w:t>结合本项目实际情况建立内部质控标准，包括但不限于档案初验标准（档案接收、检查、整理、装箱的标准和规范）、档案接收标准（通过初验的档案移交扫描的接收标准和规范）、档案扫描和图检标准（扫描图像的基本要求、图检的规范流程）、档案著录标准（各类型、时期业务档案的不同著录信息标准、检查规范流程）、内部质检标准（数据移交前的质检标准和规范流程）等。</w:t>
            </w:r>
          </w:p>
          <w:p>
            <w:pPr>
              <w:pStyle w:val="null3"/>
              <w:jc w:val="left"/>
            </w:pPr>
            <w:r>
              <w:rPr>
                <w:sz w:val="22"/>
              </w:rPr>
              <w:t>5、生产技术支持保证：中标人严格按照档案整理的规范来实施，针对本项目要给予投入人力、物力、财力保证，根据项目“安全第一、质量至上、进度保障”的原则，在项目实施期间，要根据本项目的特点，在原有数字化加工软件的基础上，提交适合采购人使用的新版本加工软件，并在使用过程中根据实际快速调整，确保生产达到</w:t>
            </w:r>
            <w:r>
              <w:rPr>
                <w:sz w:val="22"/>
              </w:rPr>
              <w:t>采购人</w:t>
            </w:r>
            <w:r>
              <w:rPr>
                <w:sz w:val="22"/>
              </w:rPr>
              <w:t>要求的能力。</w:t>
            </w:r>
          </w:p>
          <w:p>
            <w:pPr>
              <w:pStyle w:val="null3"/>
              <w:jc w:val="left"/>
            </w:pPr>
            <w:r>
              <w:rPr>
                <w:sz w:val="22"/>
              </w:rPr>
              <w:t>6、工作要求：中标人工作人员职务、岗位等需向采购人报备，进入工作场地必须佩带工作证上岗，与本项目工作无关的私人物品不得带入工作场地。中标人工作人员若有违反</w:t>
            </w:r>
            <w:r>
              <w:rPr>
                <w:sz w:val="22"/>
              </w:rPr>
              <w:t>采购人</w:t>
            </w:r>
            <w:r>
              <w:rPr>
                <w:sz w:val="22"/>
              </w:rPr>
              <w:t>规定或工作质量出现问题的，采购人有权提出更换人员并收回相关出入场所证件。</w:t>
            </w:r>
          </w:p>
          <w:p>
            <w:pPr>
              <w:pStyle w:val="null3"/>
              <w:jc w:val="left"/>
            </w:pPr>
            <w:r>
              <w:rPr>
                <w:sz w:val="22"/>
              </w:rPr>
              <w:t>7、安全管理：为保证数字化工作的顺利进行，确保档案加工中的安全，需修订档案数字化加工各项制度，包括《员工行为规范》、《安全</w:t>
            </w:r>
            <w:r>
              <w:rPr>
                <w:sz w:val="22"/>
              </w:rPr>
              <w:t>保密</w:t>
            </w:r>
            <w:r>
              <w:rPr>
                <w:sz w:val="22"/>
              </w:rPr>
              <w:t>规定》、《安全应急预案》等各项有效的安全管理制度及相应的落实措施。</w:t>
            </w:r>
          </w:p>
          <w:p>
            <w:pPr>
              <w:pStyle w:val="null3"/>
              <w:jc w:val="left"/>
            </w:pPr>
            <w:r>
              <w:rPr>
                <w:sz w:val="22"/>
                <w:b/>
              </w:rPr>
              <w:t>设备安全</w:t>
            </w:r>
            <w:r>
              <w:rPr>
                <w:sz w:val="22"/>
              </w:rPr>
              <w:t>，</w:t>
            </w:r>
            <w:r>
              <w:rPr>
                <w:sz w:val="22"/>
              </w:rPr>
              <w:t>对本项目使用到的储存介质、扫描、复印等设备进行造册登记管理，设备的维护、维修、更换必须报采购人。项目工作人员未经书面批准，不得携带移动通讯设备、手提电脑、移动储存介质等进入工作场地，经批准进入工作场地的设备应造册管理，经采购人工作人员检查后方可离场。</w:t>
            </w:r>
            <w:r>
              <w:rPr>
                <w:sz w:val="22"/>
                <w:b/>
              </w:rPr>
              <w:t>网络安全</w:t>
            </w:r>
            <w:r>
              <w:rPr>
                <w:sz w:val="22"/>
              </w:rPr>
              <w:t>，中标人的工作局域网与</w:t>
            </w:r>
            <w:r>
              <w:rPr>
                <w:sz w:val="22"/>
              </w:rPr>
              <w:t>采购人</w:t>
            </w:r>
            <w:r>
              <w:rPr>
                <w:sz w:val="22"/>
              </w:rPr>
              <w:t>内网连接，中标人应建立网络安全防控机制，定期对工作电脑、服务器进行病毒查杀，对敏感端口进行安全扫描，对采购人要求封闭的网络端口进行封闭。外部存储设备未经安全设备进行中间转换，不得接入工作局域网。</w:t>
            </w:r>
            <w:r>
              <w:rPr>
                <w:sz w:val="22"/>
                <w:b/>
              </w:rPr>
              <w:t>数据安全</w:t>
            </w:r>
            <w:r>
              <w:rPr>
                <w:sz w:val="22"/>
              </w:rPr>
              <w:t>，中标人对项目实施过程中产生的档案数据（包括但不限于扫描成果、过程数据、统计数据）负有保管义务，中标人应有数据管理的系统和数据处理工作流程，确保档案数据的真实性和准确性，移交采购人的数据必须经过杀毒和数据质量检查，确保数据准确。</w:t>
            </w:r>
            <w:r>
              <w:rPr>
                <w:sz w:val="22"/>
                <w:b/>
              </w:rPr>
              <w:t>软件安全</w:t>
            </w:r>
            <w:r>
              <w:rPr>
                <w:sz w:val="22"/>
              </w:rPr>
              <w:t>，中标人入场电脑设备使用的操作系统、业务系统必须为正版软件，业务系统软件必须具有知识版权或获得版权方授权，中标人工作人员必须签订正版软件承诺书，严禁使用盗版软件。</w:t>
            </w:r>
            <w:r>
              <w:rPr>
                <w:sz w:val="22"/>
                <w:b/>
              </w:rPr>
              <w:t>档案</w:t>
            </w:r>
            <w:r>
              <w:rPr>
                <w:sz w:val="22"/>
                <w:b/>
              </w:rPr>
              <w:t>保密</w:t>
            </w:r>
            <w:r>
              <w:rPr>
                <w:sz w:val="22"/>
              </w:rPr>
              <w:t>，中标人定期对管理人员和工作人员进行安全培训，明确档案管理的责任，树立档案安全</w:t>
            </w:r>
            <w:r>
              <w:rPr>
                <w:sz w:val="22"/>
              </w:rPr>
              <w:t>保密</w:t>
            </w:r>
            <w:r>
              <w:rPr>
                <w:sz w:val="22"/>
              </w:rPr>
              <w:t>意识。</w:t>
            </w:r>
            <w:r>
              <w:rPr>
                <w:sz w:val="22"/>
                <w:b/>
              </w:rPr>
              <w:t>应急预案</w:t>
            </w:r>
            <w:r>
              <w:rPr>
                <w:sz w:val="22"/>
              </w:rPr>
              <w:t>，中标人应针对采购人项目人员、场地、设备、消防、防尘、防虫等特定条件，制定档案加工应急预案，并定期进行演练，确保实体档案安全。</w:t>
            </w:r>
          </w:p>
          <w:p>
            <w:pPr>
              <w:pStyle w:val="null3"/>
              <w:jc w:val="left"/>
            </w:pPr>
            <w:r>
              <w:rPr>
                <w:sz w:val="22"/>
              </w:rPr>
              <w:t>中标人项目部设置安全员</w:t>
            </w:r>
            <w:r>
              <w:rPr>
                <w:sz w:val="22"/>
              </w:rPr>
              <w:t>1名，规定每月加工现场安全巡查不少于4次，重点对档案运转过程、库房档案安全存放、数字化加工操作行为、档案出入库手续、数字化加工中心的门窗、水电火等检查，发现隐患及时报告并排除，并做好详细记录；严格落实加工人员行为规范，若发现安全隐患事故，坚持 “三不放过”即事故原因查不明不能放过，直接责任人没有受到教育、处理不能放过，广大员工没有受到教育不能放过。在生产当中对于违规的员工进行批评教育，严重的给予辞退处理。</w:t>
            </w:r>
          </w:p>
          <w:p>
            <w:pPr>
              <w:pStyle w:val="null3"/>
              <w:jc w:val="left"/>
            </w:pPr>
            <w:r>
              <w:rPr>
                <w:sz w:val="22"/>
              </w:rPr>
              <w:t>中标人项目部设置库房管理员</w:t>
            </w:r>
            <w:r>
              <w:rPr>
                <w:sz w:val="22"/>
              </w:rPr>
              <w:t>1名，负责档案实体的交接、清点、登记、出入库核查与记录。</w:t>
            </w:r>
          </w:p>
          <w:p>
            <w:pPr>
              <w:pStyle w:val="null3"/>
              <w:jc w:val="left"/>
            </w:pPr>
            <w:r>
              <w:rPr>
                <w:sz w:val="22"/>
              </w:rPr>
              <w:t>中标人需坚持员工政审管理制度，入职签订《入职人员安全</w:t>
            </w:r>
            <w:r>
              <w:rPr>
                <w:sz w:val="22"/>
              </w:rPr>
              <w:t>保密</w:t>
            </w:r>
            <w:r>
              <w:rPr>
                <w:sz w:val="22"/>
              </w:rPr>
              <w:t>协议书》和《离职</w:t>
            </w:r>
            <w:r>
              <w:rPr>
                <w:sz w:val="22"/>
              </w:rPr>
              <w:t>保密</w:t>
            </w:r>
            <w:r>
              <w:rPr>
                <w:sz w:val="22"/>
              </w:rPr>
              <w:t>承诺书》。保证落实合同中有关</w:t>
            </w:r>
            <w:r>
              <w:rPr>
                <w:sz w:val="22"/>
              </w:rPr>
              <w:t>保密</w:t>
            </w:r>
            <w:r>
              <w:rPr>
                <w:sz w:val="22"/>
              </w:rPr>
              <w:t>的规定，任何人不得擅自下载档案的内容，现场不得使用移动存储设备，数字化加工中心电脑上的</w:t>
            </w:r>
            <w:r>
              <w:rPr>
                <w:sz w:val="22"/>
              </w:rPr>
              <w:t>USB端口全部封闭。</w:t>
            </w:r>
          </w:p>
          <w:p>
            <w:pPr>
              <w:pStyle w:val="null3"/>
              <w:jc w:val="left"/>
            </w:pPr>
            <w:r>
              <w:rPr>
                <w:sz w:val="22"/>
              </w:rPr>
              <w:t>数字化加工现场安全措施到位，规定现场任何人不得携带手机、照相机等带有摄录功能的设备，不得携带各类包袋、书籍、杂志、报纸等进入数字化加工现场；根据各操作岗位的性质，数字化加工中心及档案周转库房及周围，采取安装监控系统，记录各工位操作影像数据的措施，确保加工现场无监控盲区。</w:t>
            </w:r>
          </w:p>
          <w:p>
            <w:pPr>
              <w:pStyle w:val="null3"/>
              <w:jc w:val="left"/>
            </w:pPr>
            <w:r>
              <w:rPr>
                <w:sz w:val="22"/>
              </w:rPr>
              <w:t>中标人需严格规范加工人员操作行为，项目部成员认真执行双方签署的《数字化加工技术标准》。为保证加工质量，项目部将持续改进方法，在生产过程中不断结合实际情况，将对操作人员的工作流程和具体操作方式进一步细化，对不规范的行为进行持续检查纠正与反馈。</w:t>
            </w:r>
          </w:p>
          <w:p>
            <w:pPr>
              <w:pStyle w:val="null3"/>
              <w:jc w:val="left"/>
            </w:pPr>
            <w:r>
              <w:rPr>
                <w:sz w:val="22"/>
              </w:rPr>
              <w:t>中标人需加强对档案数字化后的信息数据的安全管理。项目组设置专人管理信息数据，建立每天数据备份制度，凡更改数据必须经过项目管理人员签字同意。对于终端数据不得修改，保证提交目录格式要与数据库数据保持一致。</w:t>
            </w:r>
          </w:p>
          <w:p>
            <w:pPr>
              <w:pStyle w:val="null3"/>
              <w:jc w:val="left"/>
            </w:pPr>
            <w:r>
              <w:rPr>
                <w:sz w:val="22"/>
              </w:rPr>
              <w:t>8、质量保证方面</w:t>
            </w:r>
            <w:r>
              <w:rPr>
                <w:sz w:val="22"/>
              </w:rPr>
              <w:t>：</w:t>
            </w:r>
          </w:p>
          <w:p>
            <w:pPr>
              <w:pStyle w:val="null3"/>
              <w:jc w:val="left"/>
            </w:pPr>
            <w:r>
              <w:rPr>
                <w:sz w:val="22"/>
              </w:rPr>
              <w:t>在生产管理过程中，质量至上是本项目组管理人员工作目标。各级项目管理人员主要在日常管理上、在加工标准规范上下功夫，加工标准要与采购人提供的标准达成一致。</w:t>
            </w:r>
          </w:p>
          <w:p>
            <w:pPr>
              <w:pStyle w:val="null3"/>
              <w:jc w:val="left"/>
            </w:pPr>
            <w:r>
              <w:rPr>
                <w:sz w:val="22"/>
              </w:rPr>
              <w:t>中标人需建立质量把控的常态化机制，首先各生产岗位设置专职小组长，发挥其技术中坚的作用，着力解决标准规范的统一，集中处理解答生产中的疑难问题。其次安排经验丰富的员工，对新加入项目组的员工进行一对一带教。对于日常出现的错误，要确保问题的及时处理，并将问题与处理方法与整个项目组共享。第三要明确规定操作人员不得随意处理问题，必须咨询请教现场组长或项目负责人集中解决。第四实行工序制约机制，本道工序对自己工作质量负责，下道工序对上道工序信息进行检查。凡是发现上道工序错误，坚决回退整改。强化员工质量至上的意识，确保产品质量符合采购人标准要求。</w:t>
            </w:r>
          </w:p>
          <w:p>
            <w:pPr>
              <w:pStyle w:val="null3"/>
              <w:jc w:val="left"/>
            </w:pPr>
            <w:r>
              <w:rPr>
                <w:sz w:val="22"/>
              </w:rPr>
              <w:t>中标人需加强团队建设。坚持日常会议分析总结制度，及时总结经验纠正解决日常发生的问题，强化质量标准和操作规程；重视员工培训，提高操作技能。针对历史档案扫描的复杂性与档案整理人员知识水平不完全匹配的特点，中标人应采用应知应会培训、实操培训等办法；坚持新入项目组员工岗前培训机制；实行激励机制，建立</w:t>
            </w:r>
            <w:r>
              <w:rPr>
                <w:sz w:val="22"/>
              </w:rPr>
              <w:t>“员工之星”评选制度，直接与考核奖金挂钩，查错人和出错人分别兑现通报表扬与批评、物质奖励与处罚。确保了对员工“安全第一，质量至上，进度保障”原则的教育深入人心。对于工作责任心不强、疏忽大意造成生产严重事故的员工给予开除处理。管理人员也将深入员工中间关心员工的生活，帮助解决员工的实际困难，尽可能地调动员工的积极性，稳定加工队伍，保证了生产计划的落实。</w:t>
            </w:r>
          </w:p>
          <w:p>
            <w:pPr>
              <w:pStyle w:val="null3"/>
              <w:jc w:val="left"/>
            </w:pPr>
            <w:r>
              <w:rPr>
                <w:sz w:val="22"/>
              </w:rPr>
              <w:t>9、进度保证方面</w:t>
            </w:r>
            <w:r>
              <w:rPr>
                <w:sz w:val="22"/>
              </w:rPr>
              <w:t>：</w:t>
            </w:r>
          </w:p>
          <w:p>
            <w:pPr>
              <w:pStyle w:val="null3"/>
              <w:jc w:val="left"/>
            </w:pPr>
            <w:r>
              <w:rPr>
                <w:sz w:val="22"/>
              </w:rPr>
              <w:t>中标人需根据数字化加工项目</w:t>
            </w:r>
            <w:r>
              <w:rPr>
                <w:sz w:val="22"/>
              </w:rPr>
              <w:t>“进度保障”的基本原则，为使生产调度能够满足项目进度要求，项目组须建立生产报告制度，以及档案存量状态、生产各环节问题处理修改情况等的统计制度，并根据统计数据分析，制定周、月生产计划和实施方案，使整个生产管理做到心中有数，规范有序地推进生产进度，按计划完成生产任务。</w:t>
            </w:r>
          </w:p>
          <w:p>
            <w:pPr>
              <w:pStyle w:val="null3"/>
              <w:jc w:val="both"/>
            </w:pPr>
            <w:r>
              <w:rPr>
                <w:sz w:val="28"/>
                <w:b/>
              </w:rPr>
              <w:t>六、安全</w:t>
            </w:r>
            <w:r>
              <w:rPr>
                <w:sz w:val="28"/>
                <w:b/>
              </w:rPr>
              <w:t>保密</w:t>
            </w:r>
            <w:r>
              <w:rPr>
                <w:sz w:val="28"/>
                <w:b/>
              </w:rPr>
              <w:t>要求</w:t>
            </w:r>
          </w:p>
          <w:p>
            <w:pPr>
              <w:pStyle w:val="null3"/>
              <w:jc w:val="left"/>
            </w:pPr>
            <w:r>
              <w:rPr>
                <w:sz w:val="22"/>
              </w:rPr>
              <w:t>中标人应严格遵守国家相关的</w:t>
            </w:r>
            <w:r>
              <w:rPr>
                <w:sz w:val="22"/>
              </w:rPr>
              <w:t>保密</w:t>
            </w:r>
            <w:r>
              <w:rPr>
                <w:sz w:val="22"/>
              </w:rPr>
              <w:t>法律规定，遵守《</w:t>
            </w:r>
            <w:r>
              <w:rPr>
                <w:sz w:val="22"/>
              </w:rPr>
              <w:t>保密</w:t>
            </w:r>
            <w:r>
              <w:rPr>
                <w:sz w:val="22"/>
              </w:rPr>
              <w:t>协议》和采购人的有关规定（另行签订）。档案扫描工作必须在采购人指定的场所内进行，确保场所正常秩序和安全。不得遗失、损坏档案，如有违法行为或违反相关规定，将依法或依据约定追究相应的责任。中标人应做到：</w:t>
            </w:r>
          </w:p>
          <w:p>
            <w:pPr>
              <w:pStyle w:val="null3"/>
              <w:jc w:val="left"/>
            </w:pPr>
            <w:r>
              <w:rPr>
                <w:sz w:val="22"/>
              </w:rPr>
              <w:t>（</w:t>
            </w:r>
            <w:r>
              <w:rPr>
                <w:sz w:val="22"/>
              </w:rPr>
              <w:t xml:space="preserve">1）中标人参与本项目的所有工作人员必须通过采购人的审核，并登记备案。  </w:t>
            </w:r>
          </w:p>
          <w:p>
            <w:pPr>
              <w:pStyle w:val="null3"/>
              <w:jc w:val="left"/>
            </w:pPr>
            <w:r>
              <w:rPr>
                <w:sz w:val="22"/>
              </w:rPr>
              <w:t>（</w:t>
            </w:r>
            <w:r>
              <w:rPr>
                <w:sz w:val="22"/>
              </w:rPr>
              <w:t xml:space="preserve">2）项目实施过程中，中标人如需更换、增加工作人员，必须提前一个月向采购人提供拟加入人员的资料，取得对方签字同意后方可更换或者增加人手。对离开本项目实施岗位的人员，中标人需在人员离岗后一周内，在采购人保存的相关工作人员的备案表格中标注离岗日期。  </w:t>
            </w:r>
          </w:p>
          <w:p>
            <w:pPr>
              <w:pStyle w:val="null3"/>
              <w:jc w:val="left"/>
            </w:pPr>
            <w:r>
              <w:rPr>
                <w:sz w:val="22"/>
              </w:rPr>
              <w:t>（</w:t>
            </w:r>
            <w:r>
              <w:rPr>
                <w:sz w:val="22"/>
              </w:rPr>
              <w:t>3）中标人参与本项目的工作人员必须接受采购人组织的档案</w:t>
            </w:r>
            <w:r>
              <w:rPr>
                <w:sz w:val="22"/>
              </w:rPr>
              <w:t>保密</w:t>
            </w:r>
            <w:r>
              <w:rPr>
                <w:sz w:val="22"/>
              </w:rPr>
              <w:t>安全教育，并自觉学习</w:t>
            </w:r>
            <w:r>
              <w:rPr>
                <w:sz w:val="22"/>
              </w:rPr>
              <w:t>保密</w:t>
            </w:r>
            <w:r>
              <w:rPr>
                <w:sz w:val="22"/>
              </w:rPr>
              <w:t>知识，严格遵守《中华人民共和国档案法》、《中华人民共和国保守国家</w:t>
            </w:r>
            <w:r>
              <w:rPr>
                <w:sz w:val="22"/>
              </w:rPr>
              <w:t>秘密</w:t>
            </w:r>
            <w:r>
              <w:rPr>
                <w:sz w:val="22"/>
              </w:rPr>
              <w:t>法》及其他有关法规，严防泄密现象发生。</w:t>
            </w:r>
          </w:p>
          <w:p>
            <w:pPr>
              <w:pStyle w:val="null3"/>
              <w:jc w:val="left"/>
            </w:pPr>
            <w:r>
              <w:rPr>
                <w:sz w:val="22"/>
              </w:rPr>
              <w:t>（</w:t>
            </w:r>
            <w:r>
              <w:rPr>
                <w:sz w:val="22"/>
              </w:rPr>
              <w:t xml:space="preserve">4）除钥匙及眼镜等外，中标人工作人员未经采购人同意，不得将手袋、提包、钱包、磁盘（含U盘、软盘、硬盘等）、刻录光盘、手机、MP3、MP4、报刊、纸张及其他随身物品带入数字化处理工作室，也不得将工作室的物品擅自带出工作室外。   </w:t>
            </w:r>
          </w:p>
          <w:p>
            <w:pPr>
              <w:pStyle w:val="null3"/>
              <w:jc w:val="left"/>
            </w:pPr>
            <w:r>
              <w:rPr>
                <w:sz w:val="22"/>
              </w:rPr>
              <w:t>（</w:t>
            </w:r>
            <w:r>
              <w:rPr>
                <w:sz w:val="22"/>
              </w:rPr>
              <w:t>5）未经采购人批准，中标人不得以任何形式复制离线的档案图像和档案目录数据。</w:t>
            </w:r>
          </w:p>
          <w:p>
            <w:pPr>
              <w:pStyle w:val="null3"/>
              <w:jc w:val="left"/>
            </w:pPr>
            <w:r>
              <w:rPr>
                <w:sz w:val="22"/>
              </w:rPr>
              <w:t>（</w:t>
            </w:r>
            <w:r>
              <w:rPr>
                <w:sz w:val="22"/>
              </w:rPr>
              <w:t>6）中标人工作人员剔除同一案卷内的重复文件必须经采购人有关人员审核同意方可实施。</w:t>
            </w:r>
          </w:p>
          <w:p>
            <w:pPr>
              <w:pStyle w:val="null3"/>
              <w:jc w:val="left"/>
            </w:pPr>
            <w:r>
              <w:rPr>
                <w:sz w:val="22"/>
              </w:rPr>
              <w:t>（</w:t>
            </w:r>
            <w:r>
              <w:rPr>
                <w:sz w:val="22"/>
              </w:rPr>
              <w:t>7）数字化处理工作室内的废纸必须集中放置，中标人每星期清理废纸不能超过一次，清理时要有专人对纸张进行仔细检查，确保其中没有夹带任何档案文件后才能清出工作室。</w:t>
            </w:r>
          </w:p>
          <w:p>
            <w:pPr>
              <w:pStyle w:val="null3"/>
              <w:jc w:val="left"/>
            </w:pPr>
            <w:r>
              <w:rPr>
                <w:sz w:val="22"/>
              </w:rPr>
              <w:t>（</w:t>
            </w:r>
            <w:r>
              <w:rPr>
                <w:sz w:val="22"/>
              </w:rPr>
              <w:t>8）中标人工作人员不得以任何方式非法向外人泄露档案所涉及的国家</w:t>
            </w:r>
            <w:r>
              <w:rPr>
                <w:sz w:val="22"/>
              </w:rPr>
              <w:t>秘密</w:t>
            </w:r>
            <w:r>
              <w:rPr>
                <w:sz w:val="22"/>
              </w:rPr>
              <w:t>，否则按国家有关规定处理，情节严重的要承担相应的刑事责任。</w:t>
            </w:r>
          </w:p>
          <w:p>
            <w:pPr>
              <w:pStyle w:val="null3"/>
              <w:jc w:val="left"/>
            </w:pPr>
            <w:r>
              <w:rPr>
                <w:sz w:val="22"/>
              </w:rPr>
              <w:t>（</w:t>
            </w:r>
            <w:r>
              <w:rPr>
                <w:sz w:val="22"/>
              </w:rPr>
              <w:t>9）中标人及其所有工作人员必须向采购人提供书面</w:t>
            </w:r>
            <w:r>
              <w:rPr>
                <w:sz w:val="22"/>
              </w:rPr>
              <w:t>保密</w:t>
            </w:r>
            <w:r>
              <w:rPr>
                <w:sz w:val="22"/>
              </w:rPr>
              <w:t>承诺。</w:t>
            </w:r>
          </w:p>
          <w:p>
            <w:pPr>
              <w:pStyle w:val="null3"/>
              <w:jc w:val="left"/>
            </w:pPr>
            <w:r>
              <w:rPr>
                <w:sz w:val="22"/>
              </w:rPr>
              <w:t>（</w:t>
            </w:r>
            <w:r>
              <w:rPr>
                <w:sz w:val="22"/>
              </w:rPr>
              <w:t>10）投标人要在投标时承诺：按照采购人的需求，在项目运行期间免费提供扫描加工数据验收系统供采购人使用（产权归中标人），使采购人及质量检查方能顺利对加工数据进行质量检查。</w:t>
            </w:r>
          </w:p>
          <w:p>
            <w:pPr>
              <w:pStyle w:val="null3"/>
              <w:jc w:val="left"/>
            </w:pPr>
            <w:r>
              <w:rPr>
                <w:sz w:val="22"/>
              </w:rPr>
              <w:t>（</w:t>
            </w:r>
            <w:r>
              <w:rPr>
                <w:sz w:val="22"/>
              </w:rPr>
              <w:t>11）为保证项目系统的正常运转，中标人在整个项目运行期间，需确保工作人员具有良好的组织纪律性，中途不得随意更换工作人员，如特殊情况需更换工作人员，需经过采购人同意，且整个项目期间更换工作人员比例不得高于20%。</w:t>
            </w:r>
          </w:p>
          <w:p>
            <w:pPr>
              <w:pStyle w:val="null3"/>
              <w:jc w:val="left"/>
            </w:pPr>
            <w:r>
              <w:rPr/>
              <w:t xml:space="preserve"> </w:t>
            </w:r>
          </w:p>
          <w:p>
            <w:pPr>
              <w:pStyle w:val="null3"/>
              <w:jc w:val="left"/>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1.采购代理机构：本项目是指广东鼎信招标采购有限公司，负责整个采购活动的组织，依法负责编制和发布招标文件，对招标文件拥有最终的解释权，不以任何身份出任评标委员会成员。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佛山市南海区人民法院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采购机构代理服务收费标准：招标代理服务费以本项目中标金额作为计算基数，按中华人民共和国国家发展计划委员会（2002）1980 号文件规定的“服务类”收费标准计算。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广东鼎信招标采购有限公司</w:t>
      </w:r>
      <w:r>
        <w:rPr/>
        <w:t>代收。具体操作要求详见</w:t>
      </w:r>
      <w:r>
        <w:rPr/>
        <w:t>广东鼎信招标采购有限公司</w:t>
      </w:r>
      <w:r>
        <w:rPr/>
        <w:t>有关指引，递交事宜请自行咨询</w:t>
      </w:r>
      <w:r>
        <w:rPr/>
        <w:t>广东鼎信招标采购有限公司</w:t>
      </w:r>
      <w:r>
        <w:rPr/>
        <w:t>；请各投标人在投标文件递交截止时间前按须知前附表规定的金额递交至</w:t>
      </w:r>
      <w:r>
        <w:rPr/>
        <w:t>广东鼎信招标采购有限公司</w:t>
      </w:r>
      <w:r>
        <w:rPr/>
        <w:t>，到账情况以开标时</w:t>
      </w:r>
      <w:r>
        <w:rPr/>
        <w:t>广东鼎信招标采购有限公司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广东鼎信招标采购有限公司网站（www.gddingxin.com）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广东鼎信招标采购有限公司网站（www.gddingxin.com）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王小姐、李小姐</w:t>
      </w:r>
    </w:p>
    <w:p>
      <w:pPr>
        <w:pStyle w:val="null3"/>
        <w:ind w:firstLine="480"/>
      </w:pPr>
      <w:r>
        <w:rPr/>
        <w:t>电话：</w:t>
      </w:r>
      <w:r>
        <w:rPr/>
        <w:t>020-87188551、020-38939476</w:t>
      </w:r>
    </w:p>
    <w:p>
      <w:pPr>
        <w:pStyle w:val="null3"/>
        <w:ind w:firstLine="480"/>
      </w:pPr>
      <w:r>
        <w:rPr/>
        <w:t>传真：</w:t>
      </w:r>
      <w:r>
        <w:rPr/>
        <w:t>020-62619366</w:t>
      </w:r>
    </w:p>
    <w:p>
      <w:pPr>
        <w:pStyle w:val="null3"/>
        <w:ind w:firstLine="480"/>
      </w:pPr>
      <w:r>
        <w:rPr/>
        <w:t>邮箱：</w:t>
      </w:r>
      <w:r>
        <w:rPr/>
        <w:t>gddingxin@163.com</w:t>
      </w:r>
    </w:p>
    <w:p>
      <w:pPr>
        <w:pStyle w:val="null3"/>
        <w:ind w:firstLine="480"/>
      </w:pPr>
      <w:r>
        <w:rPr/>
        <w:t>地址：</w:t>
      </w:r>
      <w:r>
        <w:rPr/>
        <w:t>佛山市南海区桂城街道佛平二路112号东骏大厦第十二层1205-1206室</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采购包1(档案数字化加工服务第八期)：综合评分法,是指投标文件满足招标文件全部实质性要求，且按照评审因素的量化指标评审得分最高的投标人为中标候选人的评标方法。（最低报价不是中标的唯一依据。）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广东鼎信招标采购有限公司</w:t>
      </w:r>
      <w:r>
        <w:rPr/>
        <w:t>统一对外发布。</w:t>
      </w:r>
    </w:p>
    <w:p>
      <w:pPr>
        <w:pStyle w:val="null3"/>
        <w:ind w:firstLine="480"/>
      </w:pPr>
      <w:r>
        <w:rPr/>
        <w:t>（2）对</w:t>
      </w:r>
      <w:r>
        <w:rPr/>
        <w:t>广东鼎信招标采购有限公司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采购包1（档案数字化加工服务第八期）：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采购包1（档案数字化加工服务第八期）：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单位法人证书，或社会团体法人登记证书，或其他具有独立承担民事责任的能力的有效证照）扫描件，如投标人为自然人的需提供自然人身份证明扫描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提供以下两种证明材料之一即可： ①开标时间当月（含）往前顺推6个月内任意1个月依法缴纳税收和社会保障资金的相关材料。如依法免税或不需要缴纳社会保障资金的，提供相应证明材料； ②按要求填写招标公告附件《政府采购供应商资格信用承诺函》。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提供以下四种证明材料之一即可： ①经会计师事务所审计的2024年度财务报告（财务报告由第三方会计师事务所出具，能清晰显示第三方会计师事务所的印章，并能反映审计结论）； ②基本开户银行出具的资信证明（资信证明应在开标时间当月（含）往前顺推6个月以内出具）； ③财政部门认可的政府采购专业担保机构出具的投标担保函。 ④按要求填写招标公告附件《政府采购供应商资格信用承诺函》。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须提供下列任一项证明材料：①提供《政府采购供应商资格信用承诺函》（格式详见附件）；②参照投标（报价）函相关承诺格式内容。说明：重大违法记录，是指供应商因违法经营受到刑事处罚或者责令停产停业、吊销许可证或者执照、较大数额罚款等行政处罚。（对于“较大数额罚款”，根据《财政部关于〈中华人民共和国政府采购法实施条例〉第十九条第一款“较大数额罚款”具体适用问题的意见》（财库〔2022〕3号），明确《中华人民共和国政府采购法实施条例》第十九条第一款规定的“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采购包整体专门面向中小企业采购，监狱企业、残疾人福利性单位视同小型、微型企业。（1）中小企业评审及《中小企业声明函》填写要求①本项目为服务类项目，服务全部由符合政策要求的中小企业承接，供应商须根据本项目采购类别选择对应的《中小企业声明函》填写。②根据中小企业划分标准，本项目所属行业为软件和信息技术服务业。③供应商提交的《中小企业声明函》应按要求完整填报所有信息。（2）监狱企业评审要求：提供由省级以上监狱管理局、戒毒管理局（含新疆生产建设兵团）出具的属于监狱企业的证明文件。（3）残疾人福利性单位评审要求：提供《残疾人福利性单位声明函》。</w:t>
            </w:r>
          </w:p>
        </w:tc>
      </w:tr>
    </w:tbl>
    <w:p>
      <w:pPr>
        <w:pStyle w:val="null3"/>
        <w:ind w:firstLine="480"/>
      </w:pPr>
      <w:r>
        <w:rPr/>
        <w:t>表二符合性审查表：</w:t>
      </w:r>
    </w:p>
    <w:p>
      <w:pPr>
        <w:pStyle w:val="null3"/>
      </w:pPr>
      <w:r>
        <w:rPr/>
        <w:t>采购包1（档案数字化加工服务第八期）：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投标文件签署、盖章</w:t>
            </w:r>
          </w:p>
        </w:tc>
        <w:tc>
          <w:tcPr>
            <w:tcW w:type="dxa" w:w="4238"/>
          </w:tcPr>
          <w:p>
            <w:pPr>
              <w:pStyle w:val="null3"/>
            </w:pPr>
            <w:r>
              <w:rPr/>
              <w:t>按照采购文件规定要求签署、盖章。</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投标函已提交并符合采购文件要求的，且投标有效期不少于采购文件中载明的投标有效期。</w:t>
            </w:r>
          </w:p>
        </w:tc>
      </w:tr>
      <w:tr>
        <w:tc>
          <w:tcPr>
            <w:tcW w:type="dxa" w:w="890"/>
          </w:tcPr>
          <w:p>
            <w:pPr>
              <w:pStyle w:val="null3"/>
            </w:pPr>
            <w:r>
              <w:rPr/>
              <w:t>3</w:t>
            </w:r>
          </w:p>
        </w:tc>
        <w:tc>
          <w:tcPr>
            <w:tcW w:type="dxa" w:w="3178"/>
          </w:tcPr>
          <w:p>
            <w:pPr>
              <w:pStyle w:val="null3"/>
            </w:pPr>
            <w:r>
              <w:rPr/>
              <w:t>报价是否为固定价且是唯一的，在报价有效范围内</w:t>
            </w:r>
          </w:p>
        </w:tc>
        <w:tc>
          <w:tcPr>
            <w:tcW w:type="dxa" w:w="4238"/>
          </w:tcPr>
          <w:p>
            <w:pPr>
              <w:pStyle w:val="null3"/>
            </w:pPr>
            <w:r>
              <w:rPr/>
              <w:t>报价是固定价且是唯一的，在报价有效范围内。</w:t>
            </w:r>
          </w:p>
        </w:tc>
      </w:tr>
      <w:tr>
        <w:tc>
          <w:tcPr>
            <w:tcW w:type="dxa" w:w="890"/>
          </w:tcPr>
          <w:p>
            <w:pPr>
              <w:pStyle w:val="null3"/>
            </w:pPr>
            <w:r>
              <w:rPr/>
              <w:t>4</w:t>
            </w:r>
          </w:p>
        </w:tc>
        <w:tc>
          <w:tcPr>
            <w:tcW w:type="dxa" w:w="3178"/>
          </w:tcPr>
          <w:p>
            <w:pPr>
              <w:pStyle w:val="null3"/>
            </w:pPr>
            <w:r>
              <w:rPr/>
              <w:t>标注“★”的实质性条款响应情况</w:t>
            </w:r>
          </w:p>
        </w:tc>
        <w:tc>
          <w:tcPr>
            <w:tcW w:type="dxa" w:w="4238"/>
          </w:tcPr>
          <w:p>
            <w:pPr>
              <w:pStyle w:val="null3"/>
            </w:pPr>
            <w:r>
              <w:rPr/>
              <w:t>投标文件完全满足采购文件的实质性条款（即标注★号条款）无负偏离的。</w:t>
            </w:r>
          </w:p>
        </w:tc>
      </w:tr>
      <w:tr>
        <w:tc>
          <w:tcPr>
            <w:tcW w:type="dxa" w:w="890"/>
          </w:tcPr>
          <w:p>
            <w:pPr>
              <w:pStyle w:val="null3"/>
            </w:pPr>
            <w:r>
              <w:rPr/>
              <w:t>5</w:t>
            </w:r>
          </w:p>
        </w:tc>
        <w:tc>
          <w:tcPr>
            <w:tcW w:type="dxa" w:w="3178"/>
          </w:tcPr>
          <w:p>
            <w:pPr>
              <w:pStyle w:val="null3"/>
            </w:pPr>
            <w:r>
              <w:rPr/>
              <w:t>投标文件未含有采购人不能接受的附加条件的</w:t>
            </w:r>
          </w:p>
        </w:tc>
        <w:tc>
          <w:tcPr>
            <w:tcW w:type="dxa" w:w="4238"/>
          </w:tcPr>
          <w:p>
            <w:pPr>
              <w:pStyle w:val="null3"/>
            </w:pPr>
            <w:r>
              <w:rPr/>
              <w:t>投标文件未含有采购人不能接受的附加条件的。</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没有违反有关法律、法规、规章要求，被视为投标无效的其他情况。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采购包1(档案数字化加工服务第八期):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项目的理解和整体建设意见 (8.0分)</w:t>
            </w:r>
          </w:p>
        </w:tc>
        <w:tc>
          <w:tcPr>
            <w:tcW w:type="dxa" w:w="5076"/>
          </w:tcPr>
          <w:p>
            <w:pPr>
              <w:pStyle w:val="null3"/>
              <w:jc w:val="left"/>
            </w:pPr>
            <w:r>
              <w:rPr/>
              <w:t>根据投标人对项目的理解和整体建设意见（包括但不限于：项目背景和目标、项目范围和主要内容、项目难点与风险分析、整体建设意见等）进行评审：（1）对档案业务的理解与对档案数字化的整体建设意见充分、全面、对项目背景的把握准确到位，制定的服务目标明确，对项目范围和主要内容了解透彻，项目重难点和风险分析准确，解决措施可操作性强，完全满足或优于采购需求的，得8分；（2）对档案业务的理解与对档案数字化的整体建设意见较为充分，对项目背景的把握比较到位，制定的服务目标较明确，对项目范围和主要内容了解较透彻，项目重难点和风险分析较准确，解决措施可操作性较强，基本满足采购需求的，得5分；（3）对档案业务的理解与对档案数字化的整体建设意见相对充分，对项目背景的把握基本到位，制定的服务目标部分明确，对项目范围和主要内容了解程度一般，项目重难点和风险分析基本准确，解决措施可操作性一般，部分满足采购需求的，得3分；（4）对档案业务的理解与对档案数字化的整体建设意见不够充分，对项目背景的把握不够准确，制定的服务目标模糊，不了解项目范围和主要内容，项目重难点和风险分析不准确，解决措施可操作性差，不满足采购需求的，得1分；（5）未提供方案的不得分。</w:t>
            </w:r>
          </w:p>
        </w:tc>
      </w:tr>
      <w:tr>
        <w:tc>
          <w:tcPr>
            <w:tcW w:type="dxa" w:w="922"/>
            <w:gridSpan w:val="2"/>
            <w:vMerge/>
          </w:tcPr>
          <w:p/>
        </w:tc>
        <w:tc>
          <w:tcPr>
            <w:tcW w:type="dxa" w:w="2307"/>
          </w:tcPr>
          <w:p>
            <w:pPr>
              <w:pStyle w:val="null3"/>
              <w:jc w:val="left"/>
            </w:pPr>
            <w:r>
              <w:rPr/>
              <w:t>扫描加工流程整体设计方案 (8.0分)</w:t>
            </w:r>
          </w:p>
        </w:tc>
        <w:tc>
          <w:tcPr>
            <w:tcW w:type="dxa" w:w="5076"/>
          </w:tcPr>
          <w:p>
            <w:pPr>
              <w:pStyle w:val="null3"/>
              <w:jc w:val="left"/>
            </w:pPr>
            <w:r>
              <w:rPr/>
              <w:t>根据投标人的扫描加工流程整体设计方案（包括但不限于：扫描加工计划、流程、整体设计计划及方案等）进行评审：（1）扫描加工流程整体设计方案全面、具体、扫描加工计划合理，操作性强，流程清晰，整体设计计划及方案有利于项目稳步推进，完全满足或优于采购需求的，得8分；（2）扫描加工流程整体设计方案较为全面，扫描加工计划较合理，操作性较强，流程较清晰，整体设计计划及方案对项目的推进有一定促进作用，基本满足采购需求的，得5分；（3）扫描加工流程整体设计方案基本具备但不全面，扫描加工计划基本合理，操作性一般，流程基本清晰，整体设计计划及方案基本能推进项目，部分满足采购需求的，得3分；（4）扫描加工流程整体设计方案不全面，扫描加工计划不合理且操作性不强，整体设计计划及方案不利于项目的推进，不满足采购需求的，得1分；（5）未提供方案的不得分。</w:t>
            </w:r>
          </w:p>
        </w:tc>
      </w:tr>
      <w:tr>
        <w:tc>
          <w:tcPr>
            <w:tcW w:type="dxa" w:w="922"/>
            <w:gridSpan w:val="2"/>
            <w:vMerge/>
          </w:tcPr>
          <w:p/>
        </w:tc>
        <w:tc>
          <w:tcPr>
            <w:tcW w:type="dxa" w:w="2307"/>
          </w:tcPr>
          <w:p>
            <w:pPr>
              <w:pStyle w:val="null3"/>
              <w:jc w:val="left"/>
            </w:pPr>
            <w:r>
              <w:rPr/>
              <w:t>安全保密方案 (8.0分)</w:t>
            </w:r>
          </w:p>
        </w:tc>
        <w:tc>
          <w:tcPr>
            <w:tcW w:type="dxa" w:w="5076"/>
          </w:tcPr>
          <w:p>
            <w:pPr>
              <w:pStyle w:val="null3"/>
              <w:jc w:val="left"/>
            </w:pPr>
            <w:r>
              <w:rPr/>
              <w:t>根据投标人的安全保密方案（包括但不限于：安全保密制度、保密管理、保密工作要求等）进行评审：（1）安全保密制度详细、完整，可行性强，档案资料安全性高，有利于项目实施，完全满足或优于采购需求的，得8分；（2）安全保密制度较为详细，可行性较强，档案资料安全性较高，能保证项目的实施，基本满足采购需求的，得5分；（3）安全保密制度一般，可行性一般，档案资料安全性一般，基本能保证项目的实施，部分满足采购需求的，得3分；（4）安全保密制度不详细，可行性差，档案资料安全性差，不利于项目的实施，不满足采购需求的，得1分；（5）未提供方案的不得分。</w:t>
            </w:r>
          </w:p>
        </w:tc>
      </w:tr>
      <w:tr>
        <w:tc>
          <w:tcPr>
            <w:tcW w:type="dxa" w:w="922"/>
            <w:gridSpan w:val="2"/>
            <w:vMerge/>
          </w:tcPr>
          <w:p/>
        </w:tc>
        <w:tc>
          <w:tcPr>
            <w:tcW w:type="dxa" w:w="2307"/>
          </w:tcPr>
          <w:p>
            <w:pPr>
              <w:pStyle w:val="null3"/>
              <w:jc w:val="left"/>
            </w:pPr>
            <w:r>
              <w:rPr/>
              <w:t>进度计划方案 (8.0分)</w:t>
            </w:r>
          </w:p>
        </w:tc>
        <w:tc>
          <w:tcPr>
            <w:tcW w:type="dxa" w:w="5076"/>
          </w:tcPr>
          <w:p>
            <w:pPr>
              <w:pStyle w:val="null3"/>
              <w:jc w:val="left"/>
            </w:pPr>
            <w:r>
              <w:rPr/>
              <w:t>根据投标人的进度计划方案（包括但不限于：总体进度计划方案、阶段性目标及完成时间、人员安排、进度保障措施等）进行评审：（1）进度计划方案具体，计划方案、阶段性目标及完成时间安排合理，人员专业且数量充足，并有具体对应的有效保障项目进度的措施，完全满足或优于采购需求的，得8分；（2）进度计划方案较为具体，计划方案、阶段性目标及完成时间安排较合理，人员较专业且数量充足，有保障项目进度的措施，基本满足采购需求的，得5分；（3）进度计划方案基本具备但不全面，计划方案、阶段性目标及完成时间安排合理性一般，保障项目进度的措施一般，部分满足采购需求的，得3分；（4）进度计划部分具备，计划方案、阶段性目标及完成时间安排不合理，没有进度保障措施，不满足采购需求的，得1分；（5）未提供方案的不得分。</w:t>
            </w:r>
          </w:p>
        </w:tc>
      </w:tr>
      <w:tr>
        <w:tc>
          <w:tcPr>
            <w:tcW w:type="dxa" w:w="922"/>
            <w:gridSpan w:val="2"/>
            <w:vMerge/>
          </w:tcPr>
          <w:p/>
        </w:tc>
        <w:tc>
          <w:tcPr>
            <w:tcW w:type="dxa" w:w="2307"/>
          </w:tcPr>
          <w:p>
            <w:pPr>
              <w:pStyle w:val="null3"/>
              <w:jc w:val="left"/>
            </w:pPr>
            <w:r>
              <w:rPr/>
              <w:t>加工系统成熟度 (8.0分)</w:t>
            </w:r>
          </w:p>
        </w:tc>
        <w:tc>
          <w:tcPr>
            <w:tcW w:type="dxa" w:w="5076"/>
          </w:tcPr>
          <w:p>
            <w:pPr>
              <w:pStyle w:val="null3"/>
              <w:jc w:val="left"/>
            </w:pPr>
            <w:r>
              <w:rPr/>
              <w:t>根据投标人拟投入本项目使用的档案数字化扫描加工软件系统功能进行评审：（1）加工系统部署介绍具体，功能完善，并能够完全对应项目实施各个环节，完全满足或优于采购需求环节要求的，得8分；（2）加工系统部署介绍较为具体，功能比较完善，能够基本对应项目实施各个环节，基本满足采购需求环节要求的，得5分；（3）加工系统部署介绍基本具体，功能基本具备但不全面，部分对应项目实施各个环节，部分满足采购需求环节要求的，得3分；（4）加工系统部署介绍不具体，功能不完善，无法对应项目实施各个环节，无法满足采购需求环节要求的，得1分；（5）未提供加工系统部署介绍的不得分。</w:t>
            </w:r>
          </w:p>
        </w:tc>
      </w:tr>
      <w:tr>
        <w:tc>
          <w:tcPr>
            <w:tcW w:type="dxa" w:w="922"/>
            <w:gridSpan w:val="2"/>
            <w:vMerge/>
          </w:tcPr>
          <w:p/>
        </w:tc>
        <w:tc>
          <w:tcPr>
            <w:tcW w:type="dxa" w:w="2307"/>
          </w:tcPr>
          <w:p>
            <w:pPr>
              <w:pStyle w:val="null3"/>
              <w:jc w:val="left"/>
            </w:pPr>
            <w:r>
              <w:rPr/>
              <w:t>安全防控方案 (8.0分)</w:t>
            </w:r>
          </w:p>
        </w:tc>
        <w:tc>
          <w:tcPr>
            <w:tcW w:type="dxa" w:w="5076"/>
          </w:tcPr>
          <w:p>
            <w:pPr>
              <w:pStyle w:val="null3"/>
              <w:jc w:val="left"/>
            </w:pPr>
            <w:r>
              <w:rPr/>
              <w:t>根据投标人是否为本项目提供安全管控方案进行评审： （1）在全部服务环节内，投标人全部设备禁止接入移动或无线设备，项目所提供的硬件设备禁止带无线功能，项目提供的电脑、扫描仪如有带无线功能的，承诺拆除无线模块或未带无线功能，得4分； 注：1）硬件设备（如电脑、扫描仪等）属于投标人自有的：需提供设备购置清单、设备购置发票；2）硬件设备（如电脑、扫描仪等）属于投标人租赁的：需提供有效期内的设备租赁合同、发票；3）提供体现上述功能的相关证明材料，如截图等；4）提供承诺函，格式自拟。未按要求提供或提供不齐全不得分。 （2）在设备内能够安装接入设备检测软件，防止无线设备接入，得2分；(提供承诺函，格式自拟) （3）在设备内能够安装入网监测软件，防止局域网设备违规接入物联网，得2分。(提供承诺函，格式自拟) 注：未按要求提供或提供不齐全不得分。</w:t>
            </w:r>
          </w:p>
        </w:tc>
      </w:tr>
      <w:tr>
        <w:tc>
          <w:tcPr>
            <w:tcW w:type="dxa" w:w="922"/>
            <w:gridSpan w:val="2"/>
            <w:vMerge/>
          </w:tcPr>
          <w:p/>
        </w:tc>
        <w:tc>
          <w:tcPr>
            <w:tcW w:type="dxa" w:w="2307"/>
          </w:tcPr>
          <w:p>
            <w:pPr>
              <w:pStyle w:val="null3"/>
              <w:jc w:val="left"/>
            </w:pPr>
            <w:r>
              <w:rPr/>
              <w:t>拟投入本项目人员 (12.0分)</w:t>
            </w:r>
          </w:p>
        </w:tc>
        <w:tc>
          <w:tcPr>
            <w:tcW w:type="dxa" w:w="5076"/>
          </w:tcPr>
          <w:p>
            <w:pPr>
              <w:pStyle w:val="null3"/>
              <w:jc w:val="left"/>
            </w:pPr>
            <w:r>
              <w:rPr/>
              <w:t>对投标人拟投入本项目技术支撑人员（1名）的情况进行评审： 1）具有本科或以上学历（计算机相关专业）； 2）信息系统项目管理师证书； 3）档案岗位培训证书； 以上每提供一项得2分，本小项最高得6分。 拟投入本项目实施人员（除技术支撑人员外）： 1）高级或以上网络工程师证书，得3分；中级网络工程师证书，得1.5分； 2）具有档案类职称证书，得3分。 本小项最高得6分。 注：①同一人持多项证书只得一项分，不与其他项兼得。②投标文件中须提供上述人员的相关证书扫描件（复印件）及社保部门出具的在投标截止日（含当月）前6个月内任意一个月在投标单位购买社保的证明文件扫描件（复印件），并加盖投标人公章，提供资料不全或者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企业管理体系认证 (6.0分)</w:t>
            </w:r>
          </w:p>
        </w:tc>
        <w:tc>
          <w:tcPr>
            <w:tcW w:type="dxa" w:w="5076"/>
          </w:tcPr>
          <w:p>
            <w:pPr>
              <w:pStyle w:val="null3"/>
              <w:jc w:val="left"/>
            </w:pPr>
            <w:r>
              <w:rPr/>
              <w:t>（1）投标人具有由国家认证认可监督管理部门批准设立的认证机构颁发并在有效期内的质量管理体系认证证书，得3分；（2）投标人具有档案行政主管部门或档案行政主管部门授权机构颁发的档案中介备案登记证书或备案回执，得3分。注：须提供相关证书复印件并加盖投标人公章，不提供或提供资料不符合上述评审要求的不得分。</w:t>
            </w:r>
          </w:p>
        </w:tc>
      </w:tr>
      <w:tr>
        <w:tc>
          <w:tcPr>
            <w:tcW w:type="dxa" w:w="922"/>
            <w:gridSpan w:val="2"/>
            <w:vMerge/>
          </w:tcPr>
          <w:p/>
        </w:tc>
        <w:tc>
          <w:tcPr>
            <w:tcW w:type="dxa" w:w="2307"/>
          </w:tcPr>
          <w:p>
            <w:pPr>
              <w:pStyle w:val="null3"/>
              <w:jc w:val="left"/>
            </w:pPr>
            <w:r>
              <w:rPr/>
              <w:t>企业创新智慧能力 (14.0分)</w:t>
            </w:r>
          </w:p>
        </w:tc>
        <w:tc>
          <w:tcPr>
            <w:tcW w:type="dxa" w:w="5076"/>
          </w:tcPr>
          <w:p>
            <w:pPr>
              <w:pStyle w:val="null3"/>
              <w:jc w:val="left"/>
            </w:pPr>
            <w:r>
              <w:rPr/>
              <w:t>投标人具有与本项目采购需求相关的计算机软件著作权登记证书，包括：图像处理相关、四性检测相关、数据提取相关、数据加密相关、数字化加工相关、数字化管控相关、数字化保密相关等，每提供一项相关类别，得2分，最高得14分。注：（1）属于投标人自有的：需提供①计算机软件著作权登记证书扫描件，证书著作权人名称须与投标人名称一致；未按要求提供或提供不齐全不得分。（2）属于投标人购买的，需提供①计算机软件著作权登记证书扫描件，证书著作权人名称须与投标人名称一致；②购买合同扫描件；未按要求提供或提供不齐全不得分。（3）属于投标人取得授权使用许可的，需提供①计算机软件著作权登记证书扫描件；②授权期内的授权许可使用合同扫描件；未按要求提供或提供不齐全不得分。（4）提供相关证书扫描件并加盖投标人公章，未按要求提供或提供不齐全不得分。（5）多个计算机软件著作权登记证书包含内容重复的，只计算一次分值。</w:t>
            </w:r>
          </w:p>
        </w:tc>
      </w:tr>
      <w:tr>
        <w:tc>
          <w:tcPr>
            <w:tcW w:type="dxa" w:w="922"/>
            <w:gridSpan w:val="2"/>
            <w:vMerge/>
          </w:tcPr>
          <w:p/>
        </w:tc>
        <w:tc>
          <w:tcPr>
            <w:tcW w:type="dxa" w:w="2307"/>
          </w:tcPr>
          <w:p>
            <w:pPr>
              <w:pStyle w:val="null3"/>
              <w:jc w:val="left"/>
            </w:pPr>
            <w:r>
              <w:rPr/>
              <w:t>业绩情况 (10.0分)</w:t>
            </w:r>
          </w:p>
        </w:tc>
        <w:tc>
          <w:tcPr>
            <w:tcW w:type="dxa" w:w="5076"/>
          </w:tcPr>
          <w:p>
            <w:pPr>
              <w:pStyle w:val="null3"/>
              <w:jc w:val="left"/>
            </w:pPr>
            <w:r>
              <w:rPr/>
              <w:t>投标人自2022年1月1日至投标截止时间止（以合同签订时间为准）的同类项目的业绩，每提供一项业绩得2分，最高得10分。注：需提供业绩合同关键页（包括采购内容、采购金额、签约日期、双方盖章页）扫描件（复印件）并加盖投标人公章，不提供或提供的证明材料不符合要求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spacing w:before="0" w:after="0"/>
        <w:ind w:left="0" w:right="0"/>
        <w:jc w:val="both"/>
      </w:pPr>
      <w:r>
        <w:rPr>
          <w:b/>
        </w:rPr>
        <w:t>甲方：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sz w:val="27"/>
          <w:color w:val="222222"/>
        </w:rPr>
        <w:t>传真</w:t>
      </w:r>
      <w:r>
        <w:rPr>
          <w:sz w:val="27"/>
          <w:color w:val="222222"/>
        </w:rPr>
        <w:t xml:space="preserve"> </w:t>
      </w:r>
      <w:r>
        <w:rPr>
          <w:sz w:val="27"/>
          <w:color w:val="222222"/>
        </w:rPr>
        <w:t>：</w:t>
      </w:r>
      <w:r>
        <w:rPr>
          <w:sz w:val="27"/>
          <w:color w:val="222222"/>
        </w:rPr>
        <w:t xml:space="preserve"> </w:t>
      </w:r>
      <w:r>
        <w:rPr>
          <w:u w:val="single"/>
        </w:rPr>
        <w:t>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0" w:after="0"/>
        <w:ind w:left="0" w:right="0"/>
        <w:jc w:val="both"/>
      </w:pPr>
      <w:r>
        <w:rPr>
          <w:b/>
        </w:rPr>
        <w:t>乙方：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u w:val="single"/>
        </w:rPr>
        <w:t xml:space="preserve"> </w:t>
      </w:r>
      <w:r>
        <w:rPr>
          <w:sz w:val="27"/>
          <w:color w:val="222222"/>
        </w:rPr>
        <w:t>传真：</w:t>
      </w:r>
      <w:r>
        <w:rPr>
          <w:u w:val="single"/>
        </w:rPr>
        <w:t>　　　</w:t>
      </w:r>
      <w:r>
        <w:rPr>
          <w:u w:val="single"/>
        </w:rPr>
        <w:t xml:space="preserve">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both"/>
      </w:pPr>
      <w:r>
        <w:rPr>
          <w:sz w:val="24"/>
          <w:color w:val="000000"/>
        </w:rPr>
        <w:t>根据《中华人民共和国政府采购法》《中华人民共和国民法典》和本项目采购文件的要求，经双方协商，本着平等互利和诚实信用的原则，一致同意签订本合同如下。</w:t>
      </w:r>
    </w:p>
    <w:p>
      <w:pPr>
        <w:pStyle w:val="null3"/>
        <w:ind w:firstLine="480"/>
        <w:jc w:val="both"/>
      </w:pPr>
      <w:r>
        <w:rPr>
          <w:sz w:val="24"/>
          <w:b/>
          <w:color w:val="000000"/>
        </w:rPr>
        <w:t>一、项目主要内容及实现功能目标：</w:t>
      </w:r>
    </w:p>
    <w:p>
      <w:pPr>
        <w:pStyle w:val="null3"/>
        <w:ind w:firstLine="420"/>
        <w:jc w:val="both"/>
      </w:pPr>
      <w:r>
        <w:rPr>
          <w:sz w:val="24"/>
          <w:color w:val="000000"/>
        </w:rPr>
        <w:t>（按照采购文件和投标</w:t>
      </w:r>
      <w:r>
        <w:rPr>
          <w:sz w:val="24"/>
          <w:color w:val="000000"/>
        </w:rPr>
        <w:t>/</w:t>
      </w:r>
      <w:r>
        <w:rPr>
          <w:sz w:val="24"/>
          <w:color w:val="000000"/>
        </w:rPr>
        <w:t>响应文件执行）</w:t>
      </w:r>
    </w:p>
    <w:p>
      <w:pPr>
        <w:pStyle w:val="null3"/>
        <w:ind w:firstLine="480"/>
        <w:jc w:val="both"/>
      </w:pPr>
      <w:r>
        <w:rPr>
          <w:sz w:val="24"/>
          <w:b/>
          <w:color w:val="000000"/>
        </w:rPr>
        <w:t>二、基本合同条款一览表</w:t>
      </w:r>
    </w:p>
    <w:tbl>
      <w:tblPr>
        <w:tblW w:w="0" w:type="auto"/>
        <w:tblBorders>
          <w:top w:val="none" w:color="000000" w:sz="4"/>
          <w:left w:val="none" w:color="000000" w:sz="4"/>
          <w:bottom w:val="none" w:color="000000" w:sz="4"/>
          <w:right w:val="none" w:color="000000" w:sz="4"/>
          <w:insideH w:val="none"/>
          <w:insideV w:val="none"/>
        </w:tblBorders>
      </w:tblPr>
      <w:tblGrid>
        <w:gridCol w:w="649"/>
        <w:gridCol w:w="1420"/>
        <w:gridCol w:w="6237"/>
      </w:tblGrid>
      <w:tr>
        <w:tc>
          <w:tcPr>
            <w:tcW w:type="dxa" w:w="649"/>
            <w:tcBorders>
              <w:top w:val="single" w:color="000000" w:sz="4"/>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center"/>
            </w:pPr>
            <w:r>
              <w:rPr>
                <w:sz w:val="21"/>
                <w:b/>
                <w:color w:val="000000"/>
              </w:rPr>
              <w:t>序号</w:t>
            </w:r>
          </w:p>
        </w:tc>
        <w:tc>
          <w:tcPr>
            <w:tcW w:type="dxa" w:w="1420"/>
            <w:tcBorders>
              <w:top w:val="single" w:color="000000" w:sz="4"/>
              <w:left w:val="none" w:color="000000" w:sz="4"/>
              <w:bottom w:val="single" w:color="000000" w:sz="4"/>
              <w:right w:val="single" w:color="000000" w:sz="4"/>
            </w:tcBorders>
            <w:shd w:fill="F1F1F1"/>
            <w:tcMar>
              <w:top w:type="dxa" w:w="0"/>
              <w:left w:type="dxa" w:w="105"/>
              <w:bottom w:type="dxa" w:w="0"/>
              <w:right w:type="dxa" w:w="105"/>
            </w:tcMar>
            <w:vAlign w:val="top"/>
          </w:tcPr>
          <w:p>
            <w:pPr>
              <w:pStyle w:val="null3"/>
              <w:jc w:val="center"/>
            </w:pPr>
            <w:r>
              <w:rPr>
                <w:sz w:val="21"/>
                <w:b/>
                <w:color w:val="000000"/>
              </w:rPr>
              <w:t>合同条款</w:t>
            </w:r>
          </w:p>
        </w:tc>
        <w:tc>
          <w:tcPr>
            <w:tcW w:type="dxa" w:w="6237"/>
            <w:tcBorders>
              <w:top w:val="single" w:color="000000" w:sz="4"/>
              <w:left w:val="none" w:color="000000" w:sz="4"/>
              <w:bottom w:val="single" w:color="000000" w:sz="4"/>
              <w:right w:val="single" w:color="000000" w:sz="4"/>
            </w:tcBorders>
            <w:shd w:fill="F1F1F1"/>
            <w:tcMar>
              <w:top w:type="dxa" w:w="0"/>
              <w:left w:type="dxa" w:w="105"/>
              <w:bottom w:type="dxa" w:w="0"/>
              <w:right w:type="dxa" w:w="105"/>
            </w:tcMar>
            <w:vAlign w:val="top"/>
          </w:tcPr>
          <w:p>
            <w:pPr>
              <w:pStyle w:val="null3"/>
              <w:jc w:val="center"/>
            </w:pPr>
            <w:r>
              <w:rPr>
                <w:sz w:val="21"/>
                <w:b/>
                <w:color w:val="000000"/>
              </w:rPr>
              <w:t>内容</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1.</w:t>
            </w:r>
          </w:p>
        </w:tc>
        <w:tc>
          <w:tcPr>
            <w:tcW w:type="dxa" w:w="1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合同总额</w:t>
            </w:r>
          </w:p>
        </w:tc>
        <w:tc>
          <w:tcPr>
            <w:tcW w:type="dxa" w:w="6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人民币小写：</w:t>
            </w:r>
            <w:r>
              <w:rPr>
                <w:sz w:val="19"/>
                <w:u w:val="single"/>
              </w:rPr>
              <w:t xml:space="preserve">             </w:t>
            </w:r>
            <w:r>
              <w:rPr>
                <w:sz w:val="21"/>
                <w:color w:val="000000"/>
              </w:rPr>
              <w:t>元；</w:t>
            </w:r>
          </w:p>
          <w:p>
            <w:pPr>
              <w:pStyle w:val="null3"/>
              <w:jc w:val="both"/>
            </w:pPr>
            <w:r>
              <w:rPr>
                <w:sz w:val="21"/>
                <w:color w:val="000000"/>
              </w:rPr>
              <w:t>大写：</w:t>
            </w:r>
            <w:r>
              <w:rPr>
                <w:sz w:val="19"/>
                <w:u w:val="single"/>
              </w:rPr>
              <w:t xml:space="preserve">                          </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2.</w:t>
            </w:r>
          </w:p>
        </w:tc>
        <w:tc>
          <w:tcPr>
            <w:tcW w:type="dxa" w:w="1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中标折扣率</w:t>
            </w:r>
          </w:p>
        </w:tc>
        <w:tc>
          <w:tcPr>
            <w:tcW w:type="dxa" w:w="6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小写：</w:t>
            </w:r>
            <w:r>
              <w:rPr>
                <w:sz w:val="19"/>
                <w:u w:val="single"/>
              </w:rPr>
              <w:t xml:space="preserve">   </w:t>
            </w:r>
            <w:r>
              <w:rPr>
                <w:sz w:val="21"/>
                <w:color w:val="000000"/>
              </w:rPr>
              <w:t>%</w:t>
            </w:r>
          </w:p>
          <w:p>
            <w:pPr>
              <w:pStyle w:val="null3"/>
              <w:jc w:val="both"/>
            </w:pPr>
            <w:r>
              <w:rPr>
                <w:sz w:val="21"/>
                <w:color w:val="000000"/>
              </w:rPr>
              <w:t>大写：百分之</w:t>
            </w:r>
            <w:r>
              <w:rPr>
                <w:sz w:val="19"/>
                <w:u w:val="single"/>
              </w:rPr>
              <w:t xml:space="preserve">   </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3.</w:t>
            </w:r>
          </w:p>
        </w:tc>
        <w:tc>
          <w:tcPr>
            <w:tcW w:type="dxa" w:w="1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项目服务地点</w:t>
            </w:r>
          </w:p>
        </w:tc>
        <w:tc>
          <w:tcPr>
            <w:tcW w:type="dxa" w:w="6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甲方（用户）指定地点。详细地址为：</w:t>
            </w:r>
            <w:r>
              <w:rPr>
                <w:sz w:val="19"/>
                <w:u w:val="single"/>
              </w:rPr>
              <w:t xml:space="preserve">              </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4.</w:t>
            </w:r>
          </w:p>
        </w:tc>
        <w:tc>
          <w:tcPr>
            <w:tcW w:type="dxa" w:w="1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服务期</w:t>
            </w:r>
          </w:p>
        </w:tc>
        <w:tc>
          <w:tcPr>
            <w:tcW w:type="dxa" w:w="6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合同签订之日起按中标单价累计结算服务费达到合同总价的</w:t>
            </w:r>
            <w:r>
              <w:rPr>
                <w:sz w:val="22"/>
              </w:rPr>
              <w:t>95%或以上后合同可终止。</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5.</w:t>
            </w:r>
          </w:p>
        </w:tc>
        <w:tc>
          <w:tcPr>
            <w:tcW w:type="dxa" w:w="1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合同签订方式及情况</w:t>
            </w:r>
          </w:p>
        </w:tc>
        <w:tc>
          <w:tcPr>
            <w:tcW w:type="dxa" w:w="6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一次性签订本项目采购合同。</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6.</w:t>
            </w:r>
          </w:p>
        </w:tc>
        <w:tc>
          <w:tcPr>
            <w:tcW w:type="dxa" w:w="1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付款方式</w:t>
            </w:r>
          </w:p>
        </w:tc>
        <w:tc>
          <w:tcPr>
            <w:tcW w:type="dxa" w:w="6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r>
              <w:rPr>
                <w:sz w:val="21"/>
                <w:color w:val="000000"/>
              </w:rPr>
              <w:t>合同签订且甲方收到乙方发票后五个工作日内，甲方支付乙方</w:t>
            </w:r>
            <w:r>
              <w:rPr>
                <w:sz w:val="21"/>
                <w:color w:val="000000"/>
              </w:rPr>
              <w:t>30%</w:t>
            </w:r>
            <w:r>
              <w:rPr>
                <w:sz w:val="21"/>
                <w:color w:val="000000"/>
              </w:rPr>
              <w:t>的合同款项</w:t>
            </w:r>
            <w:r>
              <w:rPr>
                <w:sz w:val="21"/>
              </w:rPr>
              <w:t>；</w:t>
            </w:r>
          </w:p>
          <w:p>
            <w:pPr>
              <w:pStyle w:val="null3"/>
            </w:pPr>
            <w:r>
              <w:rPr>
                <w:sz w:val="21"/>
              </w:rPr>
              <w:t>(2)</w:t>
            </w:r>
            <w:r>
              <w:rPr>
                <w:sz w:val="21"/>
              </w:rPr>
              <w:t>乙方完成</w:t>
            </w:r>
            <w:r>
              <w:rPr>
                <w:sz w:val="21"/>
              </w:rPr>
              <w:t>30%</w:t>
            </w:r>
            <w:r>
              <w:rPr>
                <w:sz w:val="21"/>
              </w:rPr>
              <w:t>的合同进度后，合同</w:t>
            </w:r>
            <w:r>
              <w:rPr>
                <w:sz w:val="21"/>
              </w:rPr>
              <w:t>65%</w:t>
            </w:r>
            <w:r>
              <w:rPr>
                <w:sz w:val="21"/>
              </w:rPr>
              <w:t>的款项分五期支付，每期支付约</w:t>
            </w:r>
            <w:r>
              <w:rPr>
                <w:sz w:val="21"/>
              </w:rPr>
              <w:t>13%</w:t>
            </w:r>
            <w:r>
              <w:rPr>
                <w:sz w:val="21"/>
              </w:rPr>
              <w:t>，据实结算。乙方对应合同履行进度应不低于款项支付进度，乙方申请付款时应提交合同履行进度及验收清单分批验收结算，每期费用在分批验收后的十五个工作日内支付；</w:t>
            </w:r>
          </w:p>
          <w:p>
            <w:pPr>
              <w:pStyle w:val="null3"/>
              <w:jc w:val="both"/>
            </w:pPr>
            <w:r>
              <w:rPr>
                <w:sz w:val="21"/>
              </w:rPr>
              <w:t>(3)</w:t>
            </w:r>
            <w:r>
              <w:rPr>
                <w:sz w:val="21"/>
              </w:rPr>
              <w:t>项目完工并通过甲方验收后，十五个工作日内，支付乙方</w:t>
            </w:r>
            <w:r>
              <w:rPr>
                <w:sz w:val="21"/>
              </w:rPr>
              <w:t>5%</w:t>
            </w:r>
            <w:r>
              <w:rPr>
                <w:sz w:val="21"/>
              </w:rPr>
              <w:t>的合同款项。</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7.</w:t>
            </w:r>
          </w:p>
        </w:tc>
        <w:tc>
          <w:tcPr>
            <w:tcW w:type="dxa" w:w="1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付款要求</w:t>
            </w:r>
          </w:p>
        </w:tc>
        <w:tc>
          <w:tcPr>
            <w:tcW w:type="dxa" w:w="6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w:t>
            </w:r>
            <w:r>
              <w:rPr>
                <w:sz w:val="21"/>
              </w:rPr>
              <w:t>）乙方应向甲方提供依法纳税的发票。</w:t>
            </w:r>
          </w:p>
          <w:p>
            <w:pPr>
              <w:pStyle w:val="null3"/>
              <w:jc w:val="both"/>
            </w:pPr>
            <w:r>
              <w:rPr>
                <w:sz w:val="21"/>
              </w:rPr>
              <w:t>（</w:t>
            </w:r>
            <w:r>
              <w:rPr>
                <w:sz w:val="21"/>
              </w:rPr>
              <w:t>2</w:t>
            </w:r>
            <w:r>
              <w:rPr>
                <w:sz w:val="21"/>
              </w:rPr>
              <w:t>）合同款以转账方式转入乙方的银行账户。</w:t>
            </w:r>
          </w:p>
          <w:p>
            <w:pPr>
              <w:pStyle w:val="null3"/>
              <w:jc w:val="both"/>
            </w:pPr>
            <w:r>
              <w:rPr>
                <w:sz w:val="21"/>
              </w:rPr>
              <w:t>（</w:t>
            </w:r>
            <w:r>
              <w:rPr>
                <w:sz w:val="21"/>
              </w:rPr>
              <w:t>3</w:t>
            </w:r>
            <w:r>
              <w:rPr>
                <w:sz w:val="21"/>
              </w:rPr>
              <w:t>）收款方、出具发票方、合同乙方均需与中标（响应）供应商名称一致。</w:t>
            </w:r>
          </w:p>
          <w:p>
            <w:pPr>
              <w:pStyle w:val="null3"/>
              <w:jc w:val="both"/>
            </w:pPr>
            <w:r>
              <w:rPr>
                <w:sz w:val="21"/>
              </w:rPr>
              <w:t>（</w:t>
            </w:r>
            <w:r>
              <w:rPr>
                <w:sz w:val="21"/>
              </w:rPr>
              <w:t>4</w:t>
            </w:r>
            <w:r>
              <w:rPr>
                <w:sz w:val="21"/>
              </w:rPr>
              <w:t>）因甲方使用的是财政资金，甲方在前款规定的付款时间为向政府采购支付部门提出办理财政支付申请手续的时间（不含政府财政支付部门审核的时间），在规定时间内提出支付申请手续后即视为甲方已经按期支付。</w:t>
            </w:r>
          </w:p>
          <w:p>
            <w:pPr>
              <w:pStyle w:val="null3"/>
              <w:jc w:val="both"/>
            </w:pPr>
            <w:r>
              <w:rPr>
                <w:sz w:val="21"/>
              </w:rPr>
              <w:t>（</w:t>
            </w:r>
            <w:r>
              <w:rPr>
                <w:sz w:val="21"/>
              </w:rPr>
              <w:t>5</w:t>
            </w:r>
            <w:r>
              <w:rPr>
                <w:sz w:val="21"/>
              </w:rPr>
              <w:t>）如乙方存在违约情况，所有扣罚款项在履约保证金退回前从履约保证金中抵扣。</w:t>
            </w:r>
          </w:p>
          <w:p>
            <w:pPr>
              <w:pStyle w:val="null3"/>
              <w:jc w:val="both"/>
            </w:pPr>
            <w:r>
              <w:rPr>
                <w:sz w:val="21"/>
              </w:rPr>
              <w:t>（</w:t>
            </w:r>
            <w:r>
              <w:rPr>
                <w:sz w:val="21"/>
              </w:rPr>
              <w:t>6</w:t>
            </w:r>
            <w:r>
              <w:rPr>
                <w:sz w:val="21"/>
              </w:rPr>
              <w:t>）付款期间如因特殊情况需调整，由双方协商处理。</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8.</w:t>
            </w:r>
          </w:p>
        </w:tc>
        <w:tc>
          <w:tcPr>
            <w:tcW w:type="dxa" w:w="1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验收要求</w:t>
            </w:r>
          </w:p>
        </w:tc>
        <w:tc>
          <w:tcPr>
            <w:tcW w:type="dxa" w:w="6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0"/>
              <w:jc w:val="both"/>
            </w:pPr>
            <w:r>
              <w:rPr>
                <w:sz w:val="21"/>
              </w:rPr>
              <w:t>乙方要对纸质档案和电子数据进行全面质检，数据挂接前，应对完成加工的纸质档案和相应电子数据进行全部质检；数据挂接后，应按不低于20%的比例抽检挂接的电子数据。质检需形成书面报告，质检通过后才能交付甲方验收，并需将质检报告一并提交甲方备查。提交验收的档案数量应保持均衡，每批数量应在800件至1000件，每周2至3次为宜。</w:t>
            </w:r>
          </w:p>
          <w:p>
            <w:pPr>
              <w:pStyle w:val="null3"/>
            </w:pPr>
            <w:r>
              <w:rPr>
                <w:sz w:val="21"/>
              </w:rPr>
              <w:t>甲方对加工单位挂接完毕的档案实体、目录信息、著录信息与图像质量进行验收。验收以抽检方式进行，抽检合格率达到95%以上的，在验收报告上签署验收意见予以验收通过；合格率低于95%的，提交验收的当批数据全部发回乙方重新处理。</w:t>
            </w:r>
          </w:p>
          <w:p>
            <w:pPr>
              <w:pStyle w:val="null3"/>
            </w:pPr>
            <w:r>
              <w:rPr>
                <w:sz w:val="21"/>
              </w:rPr>
              <w:t>验收意见中发现的问题，乙方应及时修正，重新上传。</w:t>
            </w:r>
          </w:p>
          <w:p>
            <w:pPr>
              <w:pStyle w:val="null3"/>
            </w:pPr>
            <w:r>
              <w:rPr>
                <w:sz w:val="21"/>
              </w:rPr>
              <w:t>（1）凡装订不合格、错误明显的，经档案管理部门检查指出仍拒不改正的，按每起100元对乙方予以处罚；</w:t>
            </w:r>
          </w:p>
          <w:p>
            <w:pPr>
              <w:pStyle w:val="null3"/>
            </w:pPr>
            <w:r>
              <w:rPr>
                <w:sz w:val="21"/>
              </w:rPr>
              <w:t>（2）收到业务部门投诉或受到甲方案卷评查部门通报批评，经核实属于装订错误的，按每起100元对乙方予以处罚；其中性质严重的，按每起500元予以处罚；</w:t>
            </w:r>
          </w:p>
          <w:p>
            <w:pPr>
              <w:pStyle w:val="null3"/>
            </w:pPr>
            <w:r>
              <w:rPr>
                <w:sz w:val="21"/>
              </w:rPr>
              <w:t>（3）受到上级法院评查批评，属于装订错误，按每起200元对乙方予以处罚；其中性质严重的，按每起1000元予以处罚。</w:t>
            </w:r>
          </w:p>
          <w:p>
            <w:pPr>
              <w:pStyle w:val="null3"/>
            </w:pPr>
            <w:r>
              <w:rPr>
                <w:sz w:val="21"/>
              </w:rPr>
              <w:t>（4）错误性质严重的情况包括：①不同案件的案卷材料混同装订的；②明显属于副卷的材料（如：本单位内部的请示、报告和批示，甲方向上级领导部门及其他监督机关做的情况汇报及上级机关的批示，合议庭笔录，审委会讨论案件记录、裁判文书的签发底稿、案件评查材料等）装订入正卷的；③漏装重要案件材料：起诉状或起诉书、立案登记表或通知书、诉讼费票据（无票据的须有同意减、免、缓交诉讼费的审批表）、开庭案件的开庭笔录、以调解方式结案的调解笔录、结案裁判文书或审批表等；④页码顺序错误；⑤其他经院领导研究认定为错误性质严重的情况。</w:t>
            </w:r>
          </w:p>
          <w:p>
            <w:pPr>
              <w:pStyle w:val="null3"/>
            </w:pPr>
            <w:r>
              <w:rPr>
                <w:sz w:val="21"/>
              </w:rPr>
              <w:t>合格率低于95%，甲方有权终止合同，根据实际加工合格的卷数付清款项，并且乙方必须向甲方赔偿合同总金额的5%作补偿。所加工的成果必须符合广东省高级人民法院和广东省档案局的接收标准和数字化加工要求。</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9.</w:t>
            </w:r>
          </w:p>
        </w:tc>
        <w:tc>
          <w:tcPr>
            <w:tcW w:type="dxa" w:w="1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履约保证金</w:t>
            </w:r>
          </w:p>
        </w:tc>
        <w:tc>
          <w:tcPr>
            <w:tcW w:type="dxa" w:w="6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收取比例：合同总额的</w:t>
            </w:r>
            <w:r>
              <w:rPr>
                <w:sz w:val="21"/>
                <w:color w:val="000000"/>
              </w:rPr>
              <w:t>5%</w:t>
            </w:r>
            <w:r>
              <w:rPr>
                <w:sz w:val="21"/>
                <w:color w:val="000000"/>
              </w:rPr>
              <w:t>。即人民币小写：</w:t>
            </w:r>
            <w:r>
              <w:rPr>
                <w:sz w:val="19"/>
                <w:u w:val="single"/>
              </w:rPr>
              <w:t xml:space="preserve">             </w:t>
            </w:r>
            <w:r>
              <w:rPr>
                <w:sz w:val="21"/>
                <w:color w:val="000000"/>
              </w:rPr>
              <w:t>元；</w:t>
            </w:r>
          </w:p>
          <w:p>
            <w:pPr>
              <w:pStyle w:val="null3"/>
              <w:jc w:val="both"/>
            </w:pPr>
            <w:r>
              <w:rPr>
                <w:sz w:val="21"/>
                <w:color w:val="000000"/>
              </w:rPr>
              <w:t>大写：</w:t>
            </w:r>
            <w:r>
              <w:rPr>
                <w:sz w:val="19"/>
                <w:u w:val="single"/>
              </w:rPr>
              <w:t xml:space="preserve">                          </w:t>
            </w:r>
            <w:r>
              <w:rPr>
                <w:sz w:val="21"/>
                <w:u w:val="single"/>
              </w:rPr>
              <w:t>。</w:t>
            </w:r>
          </w:p>
          <w:p>
            <w:pPr>
              <w:pStyle w:val="null3"/>
              <w:jc w:val="both"/>
            </w:pPr>
            <w:r>
              <w:rPr>
                <w:sz w:val="21"/>
                <w:u w:val="single"/>
              </w:rPr>
              <w:t>合同签订前乙方向甲方通过银行转账的方式或履约保函（保险）形式交纳合同总价</w:t>
            </w:r>
            <w:r>
              <w:rPr>
                <w:sz w:val="21"/>
                <w:u w:val="single"/>
              </w:rPr>
              <w:t>5%</w:t>
            </w:r>
            <w:r>
              <w:rPr>
                <w:sz w:val="21"/>
                <w:u w:val="single"/>
              </w:rPr>
              <w:t>的款项作为履约保证金，项目整体验收合格满一年无违约行为的，采购人在五个工作日内无息退回。</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10.</w:t>
            </w:r>
          </w:p>
        </w:tc>
        <w:tc>
          <w:tcPr>
            <w:tcW w:type="dxa" w:w="1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其他要求</w:t>
            </w:r>
          </w:p>
        </w:tc>
        <w:tc>
          <w:tcPr>
            <w:tcW w:type="dxa" w:w="6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数字化所需的全部软硬件配套、人员投入、整理装订所必须使用的牛皮纸、档案盒文具、耗材等费用，均由乙方负担，如：提供完成档案扫描加工服务所需各种硬件设备（办公桌椅、电脑设备、扫描仪、打印机、装订机、移动硬盘及刻录设备等）、软件、档案存放架、档案运送车等加工场内配备、材料（夹子、文具等装订、裱补材料和工具以及其它材料）、消耗等。</w:t>
            </w:r>
          </w:p>
          <w:p>
            <w:pPr>
              <w:pStyle w:val="null3"/>
              <w:jc w:val="both"/>
            </w:pPr>
            <w:r>
              <w:rPr>
                <w:sz w:val="21"/>
              </w:rPr>
              <w:t>（</w:t>
            </w:r>
            <w:r>
              <w:rPr>
                <w:sz w:val="21"/>
              </w:rPr>
              <w:t>2）质量自检：乙方必须建立严格的质量检测体系，对加工的数据进行认真负责的自检，自检达到数据质量标准后，才能交付给甲方验收。</w:t>
            </w:r>
          </w:p>
          <w:p>
            <w:pPr>
              <w:pStyle w:val="null3"/>
            </w:pPr>
            <w:r>
              <w:rPr>
                <w:sz w:val="21"/>
              </w:rPr>
              <w:t>（3）技术支持和售后服务：乙方须提供从项目整体验收合格之日起，提供三年的免费质保期服务。无论在质保期内还是质保期满后，乙方负责对其实施的项目提供24小时不间断技术支持服务，全方位响应需求。在2小时内到达现场，并最迟在第2个工作日内排除错误，2个工作日内不能解决的，采取临时应急等措施，以保证甲方的正常使用。免费维护期满后提供的技术支持和维护，只收取成本价。三年内如因甲方单位自身系统升级而需要进行档案扫描数据的升迁，需要配合系统开发商提供免费数据升迁服务，保障数据能合格进入新系统中。为故障移动硬盘提供补录服务。</w:t>
            </w:r>
          </w:p>
          <w:p>
            <w:pPr>
              <w:pStyle w:val="null3"/>
            </w:pPr>
            <w:r>
              <w:rPr>
                <w:sz w:val="21"/>
              </w:rPr>
              <w:t>（4）乙方需及时将项目实施情况汇报给甲方，及时告知项目实施过程中存在的各种风险及防范措施，每月定期向甲方提交工作进度报告。</w:t>
            </w:r>
          </w:p>
          <w:p>
            <w:pPr>
              <w:pStyle w:val="null3"/>
            </w:pPr>
            <w:r>
              <w:rPr>
                <w:sz w:val="21"/>
              </w:rPr>
              <w:t>（5）出于保密考虑，数字化工作完成后，乙方所有电脑的硬盘、移动存储介质及无法确保数据可靠清除的设备的所有权均属甲方所有。</w:t>
            </w:r>
          </w:p>
          <w:p>
            <w:pPr>
              <w:pStyle w:val="null3"/>
            </w:pPr>
            <w:r>
              <w:rPr>
                <w:sz w:val="21"/>
              </w:rPr>
              <w:t>（6）合同终止或项目整体验收合格后，乙方需无条件配合甲方做好项目的交接工作，保证甲方数字化项目能继续顺利开展。</w:t>
            </w:r>
          </w:p>
          <w:p>
            <w:pPr>
              <w:pStyle w:val="null3"/>
              <w:ind w:firstLine="560"/>
            </w:pPr>
            <w:r>
              <w:rPr>
                <w:sz w:val="19"/>
              </w:rPr>
              <w:t xml:space="preserve"> </w:t>
            </w:r>
          </w:p>
        </w:tc>
      </w:tr>
    </w:tbl>
    <w:p>
      <w:pPr>
        <w:pStyle w:val="null3"/>
        <w:ind w:firstLine="480"/>
        <w:jc w:val="both"/>
      </w:pPr>
      <w:r>
        <w:rPr>
          <w:sz w:val="24"/>
          <w:b/>
          <w:color w:val="000000"/>
        </w:rPr>
        <w:t>三、投诉跟踪服务要求：</w:t>
      </w:r>
    </w:p>
    <w:p>
      <w:pPr>
        <w:pStyle w:val="null3"/>
        <w:ind w:firstLine="480"/>
        <w:jc w:val="both"/>
      </w:pPr>
      <w:r>
        <w:rPr>
          <w:sz w:val="24"/>
          <w:b/>
          <w:color w:val="000000"/>
        </w:rPr>
        <w:t>1.</w:t>
      </w:r>
      <w:r>
        <w:rPr>
          <w:sz w:val="24"/>
          <w:color w:val="000000"/>
        </w:rPr>
        <w:t>乙方须提供常设的投诉热线服务，并对投诉内容进行及时跟踪、回访。对甲方的投诉与通知，必须按甲方指定的时间内处理完毕，若特发事件不能在短时间内解决，乙方必须采取应急措施，或按甲方认可的应急方案执行，不得影响甲方的正常工作业务。</w:t>
      </w:r>
    </w:p>
    <w:p>
      <w:pPr>
        <w:pStyle w:val="null3"/>
        <w:ind w:firstLine="480"/>
        <w:jc w:val="both"/>
      </w:pPr>
      <w:r>
        <w:rPr>
          <w:sz w:val="24"/>
          <w:b/>
          <w:color w:val="000000"/>
        </w:rPr>
        <w:t>2.</w:t>
      </w:r>
      <w:r>
        <w:rPr>
          <w:sz w:val="24"/>
          <w:color w:val="000000"/>
        </w:rPr>
        <w:t>服务期内，甲方有权按本项目的管理要求对乙方进行不定期抽查检查，若对不合格的管理服务提出警告后，仍未得到有效解决时，甲方有权终止管理合同。</w:t>
      </w:r>
    </w:p>
    <w:p>
      <w:pPr>
        <w:pStyle w:val="null3"/>
        <w:ind w:firstLine="480"/>
        <w:jc w:val="both"/>
      </w:pPr>
      <w:r>
        <w:rPr>
          <w:sz w:val="24"/>
          <w:b/>
          <w:color w:val="000000"/>
        </w:rPr>
        <w:t>3.</w:t>
      </w:r>
      <w:r>
        <w:rPr>
          <w:sz w:val="24"/>
          <w:color w:val="000000"/>
        </w:rPr>
        <w:t>乙方服务机构名称及地址：</w:t>
      </w:r>
      <w:r>
        <w:rPr/>
        <w:t xml:space="preserve"> </w:t>
      </w:r>
    </w:p>
    <w:p>
      <w:pPr>
        <w:pStyle w:val="null3"/>
        <w:ind w:firstLine="420"/>
        <w:jc w:val="both"/>
      </w:pPr>
      <w:r>
        <w:rPr>
          <w:sz w:val="24"/>
          <w:color w:val="000000"/>
        </w:rPr>
        <w:t>联系人</w:t>
      </w:r>
      <w:r>
        <w:rPr>
          <w:sz w:val="24"/>
          <w:color w:val="000000"/>
        </w:rPr>
        <w:t>1</w:t>
      </w:r>
      <w:r>
        <w:rPr>
          <w:sz w:val="24"/>
          <w:color w:val="000000"/>
        </w:rPr>
        <w:t>：</w:t>
      </w:r>
      <w:r>
        <w:rPr>
          <w:u w:val="single"/>
        </w:rPr>
        <w:t xml:space="preserve">          </w:t>
      </w:r>
      <w:r>
        <w:rPr>
          <w:sz w:val="24"/>
          <w:color w:val="000000"/>
        </w:rPr>
        <w:t>，联系电话：</w:t>
      </w:r>
      <w:r>
        <w:rPr>
          <w:u w:val="single"/>
        </w:rPr>
        <w:t xml:space="preserve">            </w:t>
      </w:r>
      <w:r>
        <w:rPr>
          <w:sz w:val="24"/>
          <w:color w:val="000000"/>
        </w:rPr>
        <w:t>，手机：</w:t>
      </w:r>
      <w:r>
        <w:rPr>
          <w:u w:val="single"/>
        </w:rPr>
        <w:t xml:space="preserve">          </w:t>
      </w:r>
      <w:r>
        <w:rPr>
          <w:sz w:val="24"/>
          <w:color w:val="000000"/>
        </w:rPr>
        <w:t>；</w:t>
      </w:r>
    </w:p>
    <w:p>
      <w:pPr>
        <w:pStyle w:val="null3"/>
        <w:ind w:firstLine="420"/>
        <w:jc w:val="both"/>
      </w:pPr>
      <w:r>
        <w:rPr>
          <w:sz w:val="24"/>
          <w:color w:val="000000"/>
        </w:rPr>
        <w:t>联系人</w:t>
      </w:r>
      <w:r>
        <w:rPr>
          <w:sz w:val="24"/>
          <w:color w:val="000000"/>
        </w:rPr>
        <w:t>2</w:t>
      </w:r>
      <w:r>
        <w:rPr>
          <w:sz w:val="24"/>
          <w:color w:val="000000"/>
        </w:rPr>
        <w:t>：</w:t>
      </w:r>
      <w:r>
        <w:rPr>
          <w:u w:val="single"/>
        </w:rPr>
        <w:t xml:space="preserve">          </w:t>
      </w:r>
      <w:r>
        <w:rPr>
          <w:sz w:val="24"/>
          <w:color w:val="000000"/>
        </w:rPr>
        <w:t>，联系电话：</w:t>
      </w:r>
      <w:r>
        <w:rPr>
          <w:u w:val="single"/>
        </w:rPr>
        <w:t xml:space="preserve">            </w:t>
      </w:r>
      <w:r>
        <w:rPr>
          <w:sz w:val="24"/>
          <w:color w:val="000000"/>
        </w:rPr>
        <w:t>，手机：</w:t>
      </w:r>
      <w:r>
        <w:rPr>
          <w:u w:val="single"/>
        </w:rPr>
        <w:t xml:space="preserve">          </w:t>
      </w:r>
      <w:r>
        <w:rPr>
          <w:sz w:val="24"/>
          <w:color w:val="000000"/>
        </w:rPr>
        <w:t>；</w:t>
      </w:r>
    </w:p>
    <w:p>
      <w:pPr>
        <w:pStyle w:val="null3"/>
        <w:ind w:firstLine="420"/>
        <w:jc w:val="both"/>
      </w:pPr>
      <w:r>
        <w:rPr>
          <w:sz w:val="24"/>
          <w:color w:val="000000"/>
        </w:rPr>
        <w:t>服务专线电话：</w:t>
      </w:r>
      <w:r>
        <w:rPr>
          <w:u w:val="single"/>
        </w:rPr>
        <w:t xml:space="preserve">               </w:t>
      </w:r>
    </w:p>
    <w:p>
      <w:pPr>
        <w:pStyle w:val="null3"/>
        <w:ind w:firstLine="480"/>
        <w:jc w:val="both"/>
      </w:pPr>
      <w:r>
        <w:rPr>
          <w:sz w:val="24"/>
          <w:b/>
          <w:color w:val="000000"/>
        </w:rPr>
        <w:t>4.</w:t>
      </w:r>
      <w:r>
        <w:rPr>
          <w:sz w:val="24"/>
          <w:color w:val="000000"/>
        </w:rPr>
        <w:t>其他服务要求：（补充内容不得对采购文件和投标</w:t>
      </w:r>
      <w:r>
        <w:rPr>
          <w:sz w:val="24"/>
          <w:color w:val="000000"/>
        </w:rPr>
        <w:t>/</w:t>
      </w:r>
      <w:r>
        <w:rPr>
          <w:sz w:val="24"/>
          <w:color w:val="000000"/>
        </w:rPr>
        <w:t>响应文件作实质性修改）</w:t>
      </w:r>
    </w:p>
    <w:p>
      <w:pPr>
        <w:pStyle w:val="null3"/>
        <w:ind w:firstLine="480"/>
        <w:jc w:val="both"/>
      </w:pPr>
      <w:r>
        <w:rPr>
          <w:u w:val="single"/>
        </w:rPr>
        <w:t xml:space="preserve">                                                          </w:t>
      </w:r>
      <w:r>
        <w:rPr>
          <w:sz w:val="24"/>
          <w:color w:val="000000"/>
        </w:rPr>
        <w:t>。</w:t>
      </w:r>
    </w:p>
    <w:p>
      <w:pPr>
        <w:pStyle w:val="null3"/>
        <w:ind w:firstLine="480"/>
        <w:jc w:val="both"/>
      </w:pPr>
      <w:r>
        <w:rPr>
          <w:sz w:val="24"/>
          <w:b/>
          <w:color w:val="000000"/>
        </w:rPr>
        <w:t>四、知识产权和保密要求：</w:t>
      </w:r>
    </w:p>
    <w:p>
      <w:pPr>
        <w:pStyle w:val="null3"/>
        <w:ind w:firstLine="480"/>
        <w:jc w:val="both"/>
      </w:pPr>
      <w:r>
        <w:rPr>
          <w:u w:val="single"/>
        </w:rPr>
        <w:t xml:space="preserve">                                                                </w:t>
      </w:r>
      <w:r>
        <w:rPr>
          <w:sz w:val="24"/>
          <w:color w:val="000000"/>
        </w:rPr>
        <w:t>。</w:t>
      </w:r>
    </w:p>
    <w:p>
      <w:pPr>
        <w:pStyle w:val="null3"/>
        <w:ind w:firstLine="480"/>
        <w:jc w:val="both"/>
      </w:pPr>
      <w:r>
        <w:rPr>
          <w:sz w:val="24"/>
          <w:b/>
          <w:color w:val="000000"/>
        </w:rPr>
        <w:t>五、违约责任：</w:t>
      </w:r>
    </w:p>
    <w:p>
      <w:pPr>
        <w:pStyle w:val="null3"/>
        <w:ind w:firstLine="480"/>
        <w:jc w:val="both"/>
      </w:pPr>
      <w:r>
        <w:rPr>
          <w:sz w:val="24"/>
          <w:b/>
          <w:color w:val="000000"/>
        </w:rPr>
        <w:t>1.</w:t>
      </w:r>
      <w:r>
        <w:rPr>
          <w:sz w:val="24"/>
          <w:color w:val="000000"/>
        </w:rPr>
        <w:t>乙方未按要求履行合同义务时，须从违约之日起每日按合同总额的</w:t>
      </w:r>
      <w:r>
        <w:rPr>
          <w:sz w:val="24"/>
          <w:color w:val="000000"/>
          <w:u w:val="single"/>
        </w:rPr>
        <w:t>2</w:t>
      </w:r>
      <w:r>
        <w:rPr>
          <w:sz w:val="21"/>
          <w:u w:val="single"/>
        </w:rPr>
        <w:t>‰</w:t>
      </w:r>
      <w:r>
        <w:rPr>
          <w:sz w:val="24"/>
          <w:color w:val="000000"/>
        </w:rPr>
        <w:t>比例向甲方支付违约金；逾期</w:t>
      </w:r>
      <w:r>
        <w:rPr>
          <w:sz w:val="21"/>
          <w:u w:val="single"/>
        </w:rPr>
        <w:t>15</w:t>
      </w:r>
      <w:r>
        <w:rPr>
          <w:sz w:val="24"/>
          <w:color w:val="000000"/>
        </w:rPr>
        <w:t>日以上时，甲方有权终止合同，由此造成甲方的经济损失由乙方承担。违约金不足以弥补损失的，乙方应按全额赔偿。</w:t>
      </w:r>
    </w:p>
    <w:p>
      <w:pPr>
        <w:pStyle w:val="null3"/>
        <w:ind w:firstLine="480"/>
        <w:jc w:val="both"/>
      </w:pPr>
      <w:r>
        <w:rPr>
          <w:sz w:val="24"/>
          <w:b/>
          <w:color w:val="000000"/>
        </w:rPr>
        <w:t>2.</w:t>
      </w:r>
      <w:r>
        <w:rPr>
          <w:sz w:val="24"/>
          <w:color w:val="000000"/>
        </w:rPr>
        <w:t>乙方未按要求提供服务，甲方有权要求乙方予以整改，乙方不按甲方要求整改的，甲方有权单方终止或解除合同，同时乙方应向甲支付合同总金额</w:t>
      </w:r>
      <w:r>
        <w:rPr>
          <w:sz w:val="24"/>
          <w:color w:val="000000"/>
        </w:rPr>
        <w:t>30%</w:t>
      </w:r>
      <w:r>
        <w:rPr>
          <w:sz w:val="24"/>
          <w:color w:val="000000"/>
        </w:rPr>
        <w:t>的违约金。违约金不足以弥补损失的，乙方应按全额赔偿。</w:t>
      </w:r>
    </w:p>
    <w:p>
      <w:pPr>
        <w:pStyle w:val="null3"/>
        <w:ind w:firstLine="480"/>
        <w:jc w:val="both"/>
      </w:pPr>
      <w:r>
        <w:rPr>
          <w:sz w:val="24"/>
          <w:b/>
          <w:color w:val="000000"/>
        </w:rPr>
        <w:t>3.</w:t>
      </w:r>
      <w:r>
        <w:rPr>
          <w:sz w:val="24"/>
          <w:color w:val="000000"/>
        </w:rPr>
        <w:t>甲方未按要求履行合同义务时，或无故拖延验收、付款时，甲方须向乙方支付滞纳金，标准为每日按逾期应付款总额的</w:t>
      </w:r>
      <w:r>
        <w:rPr>
          <w:u w:val="single"/>
        </w:rPr>
        <w:t xml:space="preserve"> </w:t>
      </w:r>
      <w:r>
        <w:rPr>
          <w:sz w:val="24"/>
          <w:color w:val="000000"/>
          <w:u w:val="single"/>
        </w:rPr>
        <w:t>2</w:t>
      </w:r>
      <w:r>
        <w:rPr>
          <w:sz w:val="21"/>
          <w:u w:val="single"/>
        </w:rPr>
        <w:t xml:space="preserve">‰ </w:t>
      </w:r>
      <w:r>
        <w:rPr>
          <w:sz w:val="24"/>
          <w:color w:val="000000"/>
        </w:rPr>
        <w:t>累计。</w:t>
      </w:r>
    </w:p>
    <w:p>
      <w:pPr>
        <w:pStyle w:val="null3"/>
        <w:ind w:firstLine="480"/>
        <w:jc w:val="both"/>
      </w:pPr>
      <w:r>
        <w:rPr>
          <w:sz w:val="24"/>
          <w:b/>
          <w:color w:val="000000"/>
        </w:rPr>
        <w:t>4.</w:t>
      </w:r>
      <w:r>
        <w:rPr>
          <w:sz w:val="24"/>
          <w:color w:val="000000"/>
        </w:rPr>
        <w:t>其它违约责任按《中华人民共和国民法典</w:t>
      </w:r>
      <w:r>
        <w:rPr>
          <w:sz w:val="24"/>
          <w:color w:val="000000"/>
        </w:rPr>
        <w:t>(</w:t>
      </w:r>
      <w:r>
        <w:rPr>
          <w:sz w:val="24"/>
          <w:color w:val="000000"/>
        </w:rPr>
        <w:t>合同编</w:t>
      </w:r>
      <w:r>
        <w:rPr>
          <w:sz w:val="24"/>
          <w:color w:val="000000"/>
        </w:rPr>
        <w:t>)</w:t>
      </w:r>
      <w:r>
        <w:rPr>
          <w:sz w:val="24"/>
          <w:color w:val="000000"/>
        </w:rPr>
        <w:t>》处理。</w:t>
      </w:r>
    </w:p>
    <w:p>
      <w:pPr>
        <w:pStyle w:val="null3"/>
        <w:ind w:firstLine="480"/>
        <w:jc w:val="both"/>
      </w:pPr>
      <w:r>
        <w:rPr>
          <w:sz w:val="24"/>
          <w:b/>
          <w:color w:val="000000"/>
        </w:rPr>
        <w:t>六、提出异议的时间和方法：</w:t>
      </w:r>
    </w:p>
    <w:p>
      <w:pPr>
        <w:pStyle w:val="null3"/>
        <w:ind w:firstLine="480"/>
        <w:jc w:val="both"/>
      </w:pPr>
      <w:r>
        <w:rPr>
          <w:sz w:val="24"/>
          <w:b/>
          <w:color w:val="000000"/>
        </w:rPr>
        <w:t>1.</w:t>
      </w:r>
      <w:r>
        <w:rPr>
          <w:sz w:val="24"/>
          <w:color w:val="000000"/>
        </w:rPr>
        <w:t>甲方有异议时，应及时向乙方提出书面异议。</w:t>
      </w:r>
    </w:p>
    <w:p>
      <w:pPr>
        <w:pStyle w:val="null3"/>
        <w:ind w:firstLine="480"/>
        <w:jc w:val="both"/>
      </w:pPr>
      <w:r>
        <w:rPr>
          <w:sz w:val="24"/>
          <w:b/>
          <w:color w:val="000000"/>
        </w:rPr>
        <w:t>2.</w:t>
      </w:r>
      <w:r>
        <w:rPr>
          <w:sz w:val="24"/>
          <w:color w:val="000000"/>
        </w:rPr>
        <w:t>乙方在接到甲方书面异议后，应在</w:t>
      </w:r>
      <w:r>
        <w:rPr>
          <w:sz w:val="24"/>
          <w:color w:val="000000"/>
        </w:rPr>
        <w:t>3</w:t>
      </w:r>
      <w:r>
        <w:rPr>
          <w:sz w:val="24"/>
          <w:color w:val="000000"/>
        </w:rPr>
        <w:t>天内负责处理并函复甲方处理情况，否则，即视为默认甲方提出的异议和处理意见。</w:t>
      </w:r>
    </w:p>
    <w:p>
      <w:pPr>
        <w:pStyle w:val="null3"/>
        <w:ind w:firstLine="480"/>
        <w:jc w:val="both"/>
      </w:pPr>
      <w:r>
        <w:rPr>
          <w:sz w:val="24"/>
          <w:b/>
          <w:color w:val="000000"/>
        </w:rPr>
        <w:t>3.</w:t>
      </w:r>
      <w:r>
        <w:rPr>
          <w:sz w:val="24"/>
          <w:color w:val="000000"/>
        </w:rPr>
        <w:t>乙方利用专业技术和行业信息优势之便，以不道德的手段，故意隐瞒和掩盖自身缔约过失，违背投标（响应）承诺和未尽义务，损害了甲方的合法权益，甲方在任何时候均可追究乙方的违约责任并索取赔偿，且不受验收程序、服务期和合同时效的限制。</w:t>
      </w:r>
    </w:p>
    <w:p>
      <w:pPr>
        <w:pStyle w:val="null3"/>
        <w:ind w:firstLine="480"/>
        <w:jc w:val="both"/>
      </w:pPr>
      <w:r>
        <w:rPr>
          <w:sz w:val="24"/>
          <w:b/>
          <w:color w:val="000000"/>
        </w:rPr>
        <w:t>七、争议的解决：</w:t>
      </w:r>
    </w:p>
    <w:p>
      <w:pPr>
        <w:pStyle w:val="null3"/>
        <w:ind w:firstLine="480"/>
        <w:jc w:val="both"/>
      </w:pPr>
      <w:r>
        <w:rPr>
          <w:sz w:val="24"/>
          <w:b/>
          <w:color w:val="000000"/>
        </w:rPr>
        <w:t>1.</w:t>
      </w:r>
      <w:r>
        <w:rPr>
          <w:sz w:val="24"/>
          <w:color w:val="000000"/>
        </w:rPr>
        <w:t>合同履行过程中发生的任何争议，如双方未能通过友好协商解决，应向有管辖权的人民法院提起诉讼。</w:t>
      </w:r>
    </w:p>
    <w:p>
      <w:pPr>
        <w:pStyle w:val="null3"/>
        <w:ind w:firstLine="480"/>
        <w:jc w:val="both"/>
      </w:pPr>
      <w:r>
        <w:rPr>
          <w:sz w:val="24"/>
          <w:b/>
          <w:color w:val="000000"/>
        </w:rPr>
        <w:t>2.</w:t>
      </w:r>
      <w:r>
        <w:rPr>
          <w:sz w:val="24"/>
          <w:color w:val="000000"/>
        </w:rPr>
        <w:t>法院审理期间，除提交法院审理的事项外，其它无争议的事项和条款仍应继续履行。</w:t>
      </w:r>
    </w:p>
    <w:p>
      <w:pPr>
        <w:pStyle w:val="null3"/>
        <w:ind w:firstLine="480"/>
        <w:jc w:val="both"/>
      </w:pPr>
      <w:r>
        <w:rPr>
          <w:sz w:val="24"/>
          <w:b/>
          <w:color w:val="000000"/>
        </w:rPr>
        <w:t>八、不可抗力：</w:t>
      </w:r>
    </w:p>
    <w:p>
      <w:pPr>
        <w:pStyle w:val="null3"/>
        <w:ind w:firstLine="420"/>
        <w:jc w:val="both"/>
      </w:pPr>
      <w:r>
        <w:rPr>
          <w:sz w:val="24"/>
          <w:color w:val="000000"/>
        </w:rPr>
        <w:t>任何一方由于不可抗力原因不能履行合同时，应在不可抗力事件结束后</w:t>
      </w:r>
      <w:r>
        <w:rPr>
          <w:sz w:val="24"/>
          <w:color w:val="000000"/>
        </w:rPr>
        <w:t>48</w:t>
      </w:r>
      <w:r>
        <w:rPr>
          <w:sz w:val="24"/>
          <w:color w:val="000000"/>
        </w:rPr>
        <w:t>小时内向对方通报，以减轻可能给对方造成的损失，在取得有关机构的不可抗力证明或双方谅解确认后，允许延期履行或修订合同，并根据情况可部分或全部免于承担违约责任。</w:t>
      </w:r>
    </w:p>
    <w:p>
      <w:pPr>
        <w:pStyle w:val="null3"/>
        <w:ind w:firstLine="480"/>
        <w:jc w:val="both"/>
      </w:pPr>
      <w:r>
        <w:rPr>
          <w:sz w:val="24"/>
          <w:b/>
          <w:color w:val="000000"/>
        </w:rPr>
        <w:t>九、税费：</w:t>
      </w:r>
    </w:p>
    <w:p>
      <w:pPr>
        <w:pStyle w:val="null3"/>
        <w:ind w:firstLine="480"/>
        <w:jc w:val="both"/>
      </w:pPr>
      <w:r>
        <w:rPr>
          <w:sz w:val="24"/>
          <w:b/>
          <w:color w:val="000000"/>
        </w:rPr>
        <w:t>1.</w:t>
      </w:r>
      <w:r>
        <w:rPr>
          <w:sz w:val="24"/>
          <w:color w:val="000000"/>
        </w:rPr>
        <w:t>本合同实施过程中所发生的一切税费及不可预见费均由乙方承担。</w:t>
      </w:r>
    </w:p>
    <w:p>
      <w:pPr>
        <w:pStyle w:val="null3"/>
        <w:ind w:firstLine="480"/>
        <w:jc w:val="both"/>
      </w:pPr>
      <w:r>
        <w:rPr>
          <w:sz w:val="24"/>
          <w:b/>
          <w:color w:val="000000"/>
        </w:rPr>
        <w:t>十、合同生效与合同备案：</w:t>
      </w:r>
    </w:p>
    <w:p>
      <w:pPr>
        <w:pStyle w:val="null3"/>
        <w:ind w:firstLine="480"/>
        <w:jc w:val="both"/>
      </w:pPr>
      <w:r>
        <w:rPr>
          <w:sz w:val="24"/>
          <w:b/>
          <w:color w:val="000000"/>
        </w:rPr>
        <w:t>1.</w:t>
      </w:r>
      <w:r>
        <w:rPr>
          <w:sz w:val="24"/>
          <w:color w:val="000000"/>
        </w:rPr>
        <w:t>本合同在甲乙双方法人代表或其授权代表签字盖章后生效。</w:t>
      </w:r>
    </w:p>
    <w:p>
      <w:pPr>
        <w:pStyle w:val="null3"/>
        <w:ind w:firstLine="480"/>
        <w:jc w:val="both"/>
      </w:pPr>
      <w:r>
        <w:rPr>
          <w:sz w:val="24"/>
          <w:b/>
          <w:color w:val="000000"/>
        </w:rPr>
        <w:t>2.</w:t>
      </w:r>
      <w:r>
        <w:rPr>
          <w:sz w:val="24"/>
          <w:color w:val="000000"/>
        </w:rPr>
        <w:t>自采购合同签订之日起</w:t>
      </w:r>
      <w:r>
        <w:rPr>
          <w:sz w:val="24"/>
          <w:color w:val="000000"/>
        </w:rPr>
        <w:t>2</w:t>
      </w:r>
      <w:r>
        <w:rPr>
          <w:sz w:val="24"/>
          <w:color w:val="000000"/>
        </w:rPr>
        <w:t>个工作日内，由甲方按照有关规定将政府采购合同在省级以上人民政府财政部门指定的媒体上公告及报同级人民政府财政部门（政府采购管理部门）备案。</w:t>
      </w:r>
    </w:p>
    <w:p>
      <w:pPr>
        <w:pStyle w:val="null3"/>
        <w:ind w:firstLine="480"/>
        <w:jc w:val="both"/>
      </w:pPr>
      <w:r>
        <w:rPr>
          <w:sz w:val="24"/>
          <w:b/>
          <w:color w:val="000000"/>
        </w:rPr>
        <w:t>十一、乙方应提供的资料内容：</w:t>
      </w:r>
    </w:p>
    <w:p>
      <w:pPr>
        <w:pStyle w:val="null3"/>
        <w:ind w:firstLine="480"/>
        <w:jc w:val="both"/>
      </w:pPr>
      <w:r>
        <w:rPr>
          <w:u w:val="single"/>
        </w:rPr>
        <w:t xml:space="preserve">                                                            </w:t>
      </w:r>
      <w:r>
        <w:rPr>
          <w:sz w:val="24"/>
          <w:color w:val="000000"/>
        </w:rPr>
        <w:t>。</w:t>
      </w:r>
    </w:p>
    <w:p>
      <w:pPr>
        <w:pStyle w:val="null3"/>
        <w:ind w:firstLine="480"/>
        <w:jc w:val="both"/>
      </w:pPr>
      <w:r>
        <w:rPr>
          <w:sz w:val="24"/>
          <w:b/>
          <w:color w:val="000000"/>
        </w:rPr>
        <w:t>十二、关于政府采购合同融资</w:t>
      </w:r>
    </w:p>
    <w:p>
      <w:pPr>
        <w:pStyle w:val="null3"/>
        <w:ind w:firstLine="480"/>
        <w:jc w:val="both"/>
      </w:pPr>
      <w:r>
        <w:rPr>
          <w:sz w:val="24"/>
          <w:b/>
          <w:color w:val="000000"/>
        </w:rPr>
        <w:t>1.</w:t>
      </w:r>
      <w:r>
        <w:rPr>
          <w:sz w:val="24"/>
          <w:color w:val="000000"/>
        </w:rPr>
        <w:t>乙方是否已申请政府采购合同融资：</w:t>
      </w:r>
      <w:r>
        <w:rPr>
          <w:sz w:val="24"/>
          <w:color w:val="000000"/>
          <w:u w:val="single"/>
        </w:rPr>
        <w:t xml:space="preserve">  </w:t>
      </w:r>
      <w:r>
        <w:rPr>
          <w:sz w:val="24"/>
          <w:color w:val="000000"/>
          <w:u w:val="single"/>
        </w:rPr>
        <w:t>是</w:t>
      </w:r>
      <w:r>
        <w:rPr>
          <w:sz w:val="24"/>
          <w:color w:val="000000"/>
          <w:u w:val="single"/>
        </w:rPr>
        <w:t>/</w:t>
      </w:r>
      <w:r>
        <w:rPr>
          <w:sz w:val="24"/>
          <w:color w:val="000000"/>
          <w:u w:val="single"/>
        </w:rPr>
        <w:t xml:space="preserve">否  </w:t>
      </w:r>
      <w:r>
        <w:rPr>
          <w:sz w:val="24"/>
          <w:color w:val="000000"/>
        </w:rPr>
        <w:t>；</w:t>
      </w:r>
    </w:p>
    <w:p>
      <w:pPr>
        <w:pStyle w:val="null3"/>
        <w:ind w:firstLine="480"/>
      </w:pPr>
      <w:r>
        <w:rPr>
          <w:sz w:val="24"/>
          <w:b/>
          <w:color w:val="000000"/>
        </w:rPr>
        <w:t>2.</w:t>
      </w:r>
      <w:r>
        <w:rPr>
          <w:sz w:val="24"/>
          <w:color w:val="000000"/>
        </w:rPr>
        <w:t>融资银行及联系方式：</w:t>
      </w:r>
      <w:r>
        <w:rPr>
          <w:u w:val="single"/>
        </w:rPr>
        <w:t xml:space="preserve">                   </w:t>
      </w:r>
      <w:r>
        <w:rPr>
          <w:sz w:val="24"/>
          <w:color w:val="000000"/>
        </w:rPr>
        <w:t>。</w:t>
      </w:r>
    </w:p>
    <w:p>
      <w:pPr>
        <w:pStyle w:val="null3"/>
        <w:ind w:firstLine="480"/>
        <w:jc w:val="both"/>
      </w:pPr>
      <w:r>
        <w:rPr>
          <w:sz w:val="24"/>
          <w:b/>
          <w:color w:val="000000"/>
        </w:rPr>
        <w:t>3.</w:t>
      </w:r>
      <w:r>
        <w:rPr>
          <w:sz w:val="24"/>
          <w:color w:val="000000"/>
        </w:rPr>
        <w:t>若乙方已申请政府采购合同融资，其在本合同中登记的银行帐号应与金融机构签订融资协议中约定的融资回款账户一致，此账户作为政府采购融资合同资金回款的唯一账户，未获得融资银行同意，乙方不得随意变更</w:t>
      </w:r>
      <w:r>
        <w:rPr>
          <w:sz w:val="24"/>
          <w:b/>
          <w:color w:val="000000"/>
        </w:rPr>
        <w:t>。</w:t>
      </w:r>
    </w:p>
    <w:p>
      <w:pPr>
        <w:pStyle w:val="null3"/>
        <w:ind w:firstLine="480"/>
        <w:jc w:val="both"/>
      </w:pPr>
      <w:r>
        <w:rPr>
          <w:sz w:val="24"/>
          <w:b/>
          <w:color w:val="000000"/>
        </w:rPr>
        <w:t>十三、其它：</w:t>
      </w:r>
    </w:p>
    <w:p>
      <w:pPr>
        <w:pStyle w:val="null3"/>
        <w:ind w:firstLine="480"/>
        <w:jc w:val="both"/>
      </w:pPr>
      <w:r>
        <w:rPr>
          <w:sz w:val="24"/>
          <w:b/>
          <w:color w:val="000000"/>
        </w:rPr>
        <w:t>1.</w:t>
      </w:r>
      <w:r>
        <w:rPr>
          <w:sz w:val="24"/>
          <w:color w:val="000000"/>
        </w:rPr>
        <w:t>所有经一方或双方签署确认的文件（包括会议纪要、补充协议、往来信函）、采购文件、要约文件和响应承诺文件、合同附件及中标（成交）通知书均为本合同不可分割的有效组成部分，与本合同具有同等的法律效力和履约义务，其缔约生效日期为有效签署或盖章确认之日期。</w:t>
      </w:r>
    </w:p>
    <w:p>
      <w:pPr>
        <w:pStyle w:val="null3"/>
        <w:ind w:firstLine="480"/>
        <w:jc w:val="both"/>
      </w:pPr>
      <w:r>
        <w:rPr>
          <w:sz w:val="24"/>
          <w:b/>
          <w:color w:val="000000"/>
        </w:rPr>
        <w:t>2.</w:t>
      </w:r>
      <w:r>
        <w:rPr>
          <w:sz w:val="24"/>
          <w:color w:val="000000"/>
        </w:rPr>
        <w:t>如一方（包括联系人）地址、电话、传真号码有变更，应在变更后</w:t>
      </w:r>
      <w:r>
        <w:rPr>
          <w:sz w:val="24"/>
          <w:color w:val="000000"/>
        </w:rPr>
        <w:t>3</w:t>
      </w:r>
      <w:r>
        <w:rPr>
          <w:sz w:val="24"/>
          <w:color w:val="000000"/>
        </w:rPr>
        <w:t>个工作日内书面通知对方联系人或负责人，否则，因此造成的损失由未履行通知义务方承担相应责任。</w:t>
      </w:r>
    </w:p>
    <w:p>
      <w:pPr>
        <w:pStyle w:val="null3"/>
        <w:ind w:firstLine="480"/>
        <w:jc w:val="both"/>
      </w:pPr>
      <w:r>
        <w:rPr>
          <w:sz w:val="24"/>
          <w:b/>
          <w:color w:val="000000"/>
        </w:rPr>
        <w:t>3.</w:t>
      </w:r>
      <w:r>
        <w:rPr>
          <w:sz w:val="24"/>
          <w:color w:val="000000"/>
        </w:rPr>
        <w:t>未经甲方书面同意，乙方不得擅自向第三方转让其主体性和关键性合同义务。</w:t>
      </w:r>
    </w:p>
    <w:p>
      <w:pPr>
        <w:pStyle w:val="null3"/>
        <w:ind w:firstLine="480"/>
        <w:jc w:val="both"/>
      </w:pPr>
      <w:r>
        <w:rPr>
          <w:sz w:val="24"/>
          <w:b/>
          <w:color w:val="000000"/>
        </w:rPr>
        <w:t>4.</w:t>
      </w:r>
      <w:r>
        <w:rPr>
          <w:sz w:val="24"/>
          <w:color w:val="000000"/>
        </w:rPr>
        <w:t>本合同一式</w:t>
      </w:r>
      <w:r>
        <w:rPr>
          <w:u w:val="single"/>
        </w:rPr>
        <w:t xml:space="preserve">    </w:t>
      </w:r>
      <w:r>
        <w:rPr>
          <w:sz w:val="24"/>
          <w:color w:val="000000"/>
        </w:rPr>
        <w:t>份，甲方执</w:t>
      </w:r>
      <w:r>
        <w:rPr>
          <w:u w:val="single"/>
        </w:rPr>
        <w:t xml:space="preserve">   </w:t>
      </w:r>
      <w:r>
        <w:rPr>
          <w:sz w:val="24"/>
          <w:color w:val="000000"/>
        </w:rPr>
        <w:t>份，乙方执</w:t>
      </w:r>
      <w:r>
        <w:rPr>
          <w:u w:val="single"/>
        </w:rPr>
        <w:t xml:space="preserve">   </w:t>
      </w:r>
      <w:r>
        <w:rPr>
          <w:sz w:val="24"/>
          <w:color w:val="000000"/>
        </w:rPr>
        <w:t>份。</w:t>
      </w:r>
    </w:p>
    <w:p>
      <w:pPr>
        <w:pStyle w:val="null3"/>
        <w:ind w:firstLine="480"/>
        <w:jc w:val="both"/>
      </w:pPr>
      <w:r>
        <w:rPr>
          <w:sz w:val="24"/>
          <w:b/>
          <w:color w:val="000000"/>
        </w:rPr>
        <w:t>5.</w:t>
      </w:r>
      <w:r>
        <w:rPr>
          <w:sz w:val="24"/>
          <w:color w:val="000000"/>
        </w:rPr>
        <w:t>本合同（含附件）共计</w:t>
      </w:r>
      <w:r>
        <w:rPr>
          <w:u w:val="single"/>
        </w:rPr>
        <w:t xml:space="preserve">    </w:t>
      </w:r>
      <w:r>
        <w:rPr>
          <w:sz w:val="24"/>
          <w:color w:val="000000"/>
        </w:rPr>
        <w:t>页，缺页之合同为无效合同。</w:t>
      </w:r>
    </w:p>
    <w:p>
      <w:pPr>
        <w:pStyle w:val="null3"/>
        <w:ind w:firstLine="480"/>
        <w:jc w:val="both"/>
      </w:pPr>
      <w:r>
        <w:rPr>
          <w:sz w:val="24"/>
          <w:b/>
          <w:color w:val="000000"/>
        </w:rPr>
        <w:t>6.</w:t>
      </w:r>
      <w:r>
        <w:rPr>
          <w:sz w:val="24"/>
          <w:color w:val="000000"/>
        </w:rPr>
        <w:t>本合同签约履约地点：广东省佛山市。</w:t>
      </w:r>
    </w:p>
    <w:p>
      <w:pPr>
        <w:pStyle w:val="null3"/>
        <w:ind w:firstLine="480"/>
        <w:jc w:val="both"/>
      </w:pPr>
      <w:r>
        <w:rPr>
          <w:sz w:val="24"/>
          <w:b/>
          <w:color w:val="000000"/>
        </w:rPr>
        <w:t>7.</w:t>
      </w:r>
      <w:r>
        <w:rPr>
          <w:sz w:val="24"/>
          <w:color w:val="000000"/>
        </w:rPr>
        <w:t>本合同所指</w:t>
      </w:r>
      <w:r>
        <w:rPr>
          <w:sz w:val="24"/>
          <w:color w:val="000000"/>
        </w:rPr>
        <w:t>“书面通知”包括但不限于短信、电子邮件等数据电文的通知形式，到达时间以民事诉讼法的规定为准，但进行书面通知前后，通知方均有义务电话确认通知事项。</w:t>
      </w:r>
    </w:p>
    <w:p>
      <w:pPr>
        <w:pStyle w:val="null3"/>
        <w:ind w:firstLine="480"/>
        <w:jc w:val="both"/>
      </w:pPr>
      <w:r>
        <w:rPr>
          <w:sz w:val="24"/>
          <w:b/>
          <w:color w:val="000000"/>
        </w:rPr>
        <w:t>8.</w:t>
      </w:r>
      <w:r>
        <w:rPr>
          <w:sz w:val="24"/>
          <w:color w:val="000000"/>
        </w:rPr>
        <w:t>双方均已对以上各条款及附件作充分了解，并明确理解由此而产生的相关权责。</w:t>
      </w:r>
    </w:p>
    <w:tbl>
      <w:tblPr>
        <w:tblW w:w="0" w:type="auto"/>
        <w:tblBorders>
          <w:top w:val="none" w:color="000000" w:sz="4"/>
          <w:left w:val="none" w:color="000000" w:sz="4"/>
          <w:bottom w:val="none" w:color="000000" w:sz="4"/>
          <w:right w:val="none" w:color="000000" w:sz="4"/>
          <w:insideH w:val="none"/>
          <w:insideV w:val="none"/>
        </w:tblBorders>
      </w:tblPr>
      <w:tblGrid>
        <w:gridCol w:w="3995"/>
        <w:gridCol w:w="3738"/>
        <w:gridCol w:w="573"/>
      </w:tblGrid>
      <w:tr>
        <w:tc>
          <w:tcPr>
            <w:tcW w:type="dxa" w:w="3995"/>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ind w:firstLine="380"/>
              <w:jc w:val="both"/>
            </w:pPr>
            <w:r>
              <w:rPr>
                <w:sz w:val="24"/>
                <w:b/>
                <w:color w:val="000000"/>
              </w:rPr>
              <w:t>甲方（盖章）：</w:t>
            </w:r>
          </w:p>
          <w:p>
            <w:pPr>
              <w:pStyle w:val="null3"/>
              <w:ind w:firstLine="380"/>
              <w:jc w:val="both"/>
            </w:pPr>
            <w:r>
              <w:rPr>
                <w:sz w:val="24"/>
                <w:color w:val="000000"/>
              </w:rPr>
              <w:t>代表：</w:t>
            </w:r>
            <w:r>
              <w:rPr>
                <w:sz w:val="19"/>
                <w:u w:val="single"/>
              </w:rPr>
              <w:t xml:space="preserve">                              </w:t>
            </w:r>
            <w:r>
              <w:rPr>
                <w:sz w:val="19"/>
              </w:rPr>
              <w:t xml:space="preserve"> </w:t>
            </w:r>
          </w:p>
          <w:p>
            <w:pPr>
              <w:pStyle w:val="null3"/>
              <w:ind w:firstLine="380"/>
              <w:jc w:val="both"/>
            </w:pPr>
            <w:r>
              <w:rPr>
                <w:sz w:val="24"/>
                <w:color w:val="000000"/>
              </w:rPr>
              <w:t>地址：</w:t>
            </w:r>
          </w:p>
          <w:p>
            <w:pPr>
              <w:pStyle w:val="null3"/>
              <w:ind w:firstLine="380"/>
              <w:jc w:val="both"/>
            </w:pPr>
            <w:r>
              <w:rPr>
                <w:sz w:val="24"/>
                <w:color w:val="000000"/>
              </w:rPr>
              <w:t>电话：</w:t>
            </w:r>
          </w:p>
          <w:p>
            <w:pPr>
              <w:pStyle w:val="null3"/>
              <w:ind w:firstLine="380"/>
              <w:jc w:val="both"/>
            </w:pPr>
            <w:r>
              <w:rPr>
                <w:sz w:val="24"/>
                <w:color w:val="000000"/>
              </w:rPr>
              <w:t>传真：</w:t>
            </w:r>
          </w:p>
          <w:p>
            <w:pPr>
              <w:pStyle w:val="null3"/>
              <w:ind w:firstLine="380"/>
              <w:jc w:val="both"/>
            </w:pPr>
            <w:r>
              <w:rPr>
                <w:sz w:val="24"/>
                <w:color w:val="000000"/>
              </w:rPr>
              <w:t>日期：</w:t>
            </w:r>
            <w:r>
              <w:rPr>
                <w:sz w:val="19"/>
              </w:rPr>
              <w:t xml:space="preserve">           </w:t>
            </w:r>
            <w:r>
              <w:rPr>
                <w:sz w:val="24"/>
                <w:color w:val="000000"/>
              </w:rPr>
              <w:t>年</w:t>
            </w:r>
            <w:r>
              <w:rPr>
                <w:sz w:val="19"/>
              </w:rPr>
              <w:t xml:space="preserve">     </w:t>
            </w:r>
            <w:r>
              <w:rPr>
                <w:sz w:val="24"/>
                <w:color w:val="000000"/>
              </w:rPr>
              <w:t>月</w:t>
            </w:r>
            <w:r>
              <w:rPr>
                <w:sz w:val="19"/>
              </w:rPr>
              <w:t xml:space="preserve">    </w:t>
            </w:r>
            <w:r>
              <w:rPr>
                <w:sz w:val="24"/>
                <w:color w:val="000000"/>
              </w:rPr>
              <w:t>日</w:t>
            </w:r>
          </w:p>
        </w:tc>
        <w:tc>
          <w:tcPr>
            <w:tcW w:type="dxa" w:w="37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4"/>
                <w:b/>
                <w:color w:val="000000"/>
              </w:rPr>
              <w:t>乙方（盖章）：</w:t>
            </w:r>
          </w:p>
          <w:p>
            <w:pPr>
              <w:pStyle w:val="null3"/>
              <w:ind w:firstLine="380"/>
              <w:jc w:val="both"/>
            </w:pPr>
            <w:r>
              <w:rPr>
                <w:sz w:val="24"/>
                <w:color w:val="000000"/>
              </w:rPr>
              <w:t>代表：</w:t>
            </w:r>
            <w:r>
              <w:rPr>
                <w:sz w:val="19"/>
                <w:u w:val="single"/>
              </w:rPr>
              <w:t xml:space="preserve">                           </w:t>
            </w:r>
          </w:p>
          <w:p>
            <w:pPr>
              <w:pStyle w:val="null3"/>
              <w:ind w:firstLine="380"/>
              <w:jc w:val="both"/>
            </w:pPr>
            <w:r>
              <w:rPr>
                <w:sz w:val="24"/>
                <w:color w:val="000000"/>
              </w:rPr>
              <w:t>地址：</w:t>
            </w:r>
          </w:p>
          <w:p>
            <w:pPr>
              <w:pStyle w:val="null3"/>
              <w:ind w:firstLine="380"/>
              <w:jc w:val="both"/>
            </w:pPr>
            <w:r>
              <w:rPr>
                <w:sz w:val="24"/>
                <w:color w:val="000000"/>
              </w:rPr>
              <w:t>电话：</w:t>
            </w:r>
          </w:p>
          <w:p>
            <w:pPr>
              <w:pStyle w:val="null3"/>
              <w:ind w:firstLine="380"/>
              <w:jc w:val="both"/>
            </w:pPr>
            <w:r>
              <w:rPr>
                <w:sz w:val="24"/>
                <w:color w:val="000000"/>
              </w:rPr>
              <w:t>传真：</w:t>
            </w:r>
          </w:p>
          <w:p>
            <w:pPr>
              <w:pStyle w:val="null3"/>
              <w:ind w:firstLine="380"/>
              <w:jc w:val="both"/>
            </w:pPr>
            <w:r>
              <w:rPr>
                <w:sz w:val="24"/>
                <w:color w:val="000000"/>
              </w:rPr>
              <w:t>日期：</w:t>
            </w:r>
            <w:r>
              <w:rPr>
                <w:sz w:val="19"/>
              </w:rPr>
              <w:t xml:space="preserve">        </w:t>
            </w:r>
            <w:r>
              <w:rPr>
                <w:sz w:val="24"/>
                <w:color w:val="000000"/>
              </w:rPr>
              <w:t>年</w:t>
            </w:r>
            <w:r>
              <w:rPr>
                <w:sz w:val="19"/>
              </w:rPr>
              <w:t xml:space="preserve">     </w:t>
            </w:r>
            <w:r>
              <w:rPr>
                <w:sz w:val="24"/>
                <w:color w:val="000000"/>
              </w:rPr>
              <w:t>月</w:t>
            </w:r>
            <w:r>
              <w:rPr>
                <w:sz w:val="19"/>
              </w:rPr>
              <w:t xml:space="preserve">     </w:t>
            </w:r>
            <w:r>
              <w:rPr>
                <w:sz w:val="24"/>
                <w:color w:val="000000"/>
              </w:rPr>
              <w:t>日</w:t>
            </w:r>
          </w:p>
        </w:tc>
        <w:tc>
          <w:tcPr>
            <w:tcW w:type="dxa" w:w="5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19"/>
              </w:rPr>
              <w:t xml:space="preserve"> </w:t>
            </w:r>
          </w:p>
        </w:tc>
      </w:tr>
      <w:tr>
        <w:tc>
          <w:tcPr>
            <w:tcW w:type="dxa" w:w="3995"/>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ind w:firstLine="380"/>
              <w:jc w:val="both"/>
            </w:pPr>
          </w:p>
        </w:tc>
        <w:tc>
          <w:tcPr>
            <w:tcW w:type="dxa" w:w="4311"/>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color w:val="000000"/>
              </w:rPr>
              <w:t>收款方、开票方须与乙方一致，专户为：</w:t>
            </w:r>
          </w:p>
          <w:p>
            <w:pPr>
              <w:pStyle w:val="null3"/>
              <w:ind w:firstLine="380"/>
              <w:jc w:val="both"/>
            </w:pPr>
            <w:r>
              <w:rPr>
                <w:sz w:val="24"/>
                <w:color w:val="000000"/>
              </w:rPr>
              <w:t>开户名称：</w:t>
            </w:r>
          </w:p>
          <w:p>
            <w:pPr>
              <w:pStyle w:val="null3"/>
              <w:ind w:firstLine="380"/>
              <w:jc w:val="both"/>
            </w:pPr>
            <w:r>
              <w:rPr>
                <w:sz w:val="24"/>
                <w:color w:val="000000"/>
              </w:rPr>
              <w:t>银行账号：</w:t>
            </w:r>
          </w:p>
          <w:p>
            <w:pPr>
              <w:pStyle w:val="null3"/>
              <w:ind w:firstLine="380"/>
              <w:jc w:val="both"/>
            </w:pPr>
            <w:r>
              <w:rPr>
                <w:sz w:val="24"/>
                <w:color w:val="000000"/>
              </w:rPr>
              <w:t>开</w:t>
            </w:r>
            <w:r>
              <w:rPr>
                <w:sz w:val="19"/>
              </w:rPr>
              <w:t xml:space="preserve"> </w:t>
            </w:r>
            <w:r>
              <w:rPr>
                <w:sz w:val="24"/>
                <w:color w:val="000000"/>
              </w:rPr>
              <w:t>户</w:t>
            </w:r>
            <w:r>
              <w:rPr>
                <w:sz w:val="19"/>
              </w:rPr>
              <w:t xml:space="preserve"> </w:t>
            </w:r>
            <w:r>
              <w:rPr>
                <w:sz w:val="24"/>
                <w:color w:val="000000"/>
              </w:rPr>
              <w:t>行：</w:t>
            </w:r>
          </w:p>
        </w:tc>
      </w:tr>
    </w:tbl>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440001-2025-43546</w:t>
      </w:r>
    </w:p>
    <w:p>
      <w:pPr>
        <w:pStyle w:val="null3"/>
        <w:jc w:val="center"/>
        <w:outlineLvl w:val="3"/>
      </w:pPr>
      <w:r>
        <w:rPr>
          <w:sz w:val="24"/>
          <w:b/>
        </w:rPr>
        <w:t>采购项目编号：</w:t>
      </w:r>
      <w:r>
        <w:rPr>
          <w:sz w:val="24"/>
          <w:b/>
        </w:rPr>
        <w:t>DXZB-2025GPA0242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广东鼎信招标采购有限公司</w:t>
      </w:r>
    </w:p>
    <w:p>
      <w:pPr>
        <w:pStyle w:val="null3"/>
        <w:ind w:firstLine="480"/>
      </w:pPr>
      <w:r>
        <w:rPr/>
        <w:t xml:space="preserve"> 你方组织的</w:t>
      </w:r>
      <w:r>
        <w:rPr>
          <w:u w:val="single"/>
        </w:rPr>
        <w:t>“</w:t>
      </w:r>
      <w:r>
        <w:rPr>
          <w:u w:val="single"/>
        </w:rPr>
        <w:t>档案数字化加工服务第八期</w:t>
      </w:r>
      <w:r>
        <w:rPr>
          <w:u w:val="single"/>
        </w:rPr>
        <w:t>”</w:t>
      </w:r>
      <w:r>
        <w:rPr/>
        <w:t>项目的招标[采购项目编号为：</w:t>
      </w:r>
      <w:r>
        <w:rPr>
          <w:u w:val="single"/>
        </w:rPr>
        <w:t>DXZB-2025GPA0242</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档案数字化加工服务第八期</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广东鼎信招标采购有限公司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档案数字化加工服务第八期</w:t>
      </w:r>
      <w:r>
        <w:rPr/>
        <w:t>”项目采购[采购项目编号为</w:t>
      </w:r>
      <w:r>
        <w:rPr/>
        <w:t>DXZB-2025GPA0242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佛山市南海区人民法院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广东鼎信招标采购有限公司</w:t>
      </w:r>
    </w:p>
    <w:p>
      <w:pPr>
        <w:pStyle w:val="null3"/>
        <w:ind w:firstLine="480"/>
      </w:pPr>
      <w:r>
        <w:rPr/>
        <w:t xml:space="preserve"> 如果我方在贵采购代理机构组织的</w:t>
      </w:r>
      <w:r>
        <w:rPr/>
        <w:t>档案数字化加工服务第八期</w:t>
      </w:r>
      <w:r>
        <w:rPr/>
        <w:t>招标中获中标（采购项目编号：</w:t>
      </w:r>
      <w:r>
        <w:rPr/>
        <w:t>DXZB-2025GPA0242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广东鼎信招标采购有限公司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广东鼎信招标采购有限公司</w:t>
      </w:r>
    </w:p>
    <w:p>
      <w:pPr>
        <w:pStyle w:val="null3"/>
        <w:ind w:firstLine="480"/>
      </w:pPr>
      <w:r>
        <w:rPr/>
        <w:t>我单位已登记并准备参与“</w:t>
      </w:r>
      <w:r>
        <w:rPr/>
        <w:t>档案数字化加工服务第八期</w:t>
      </w:r>
      <w:r>
        <w:rPr/>
        <w:t>”项目（采购项目编号：</w:t>
      </w:r>
      <w:r>
        <w:rPr/>
        <w:t>DXZB-2025GPA0242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